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3D" w:rsidRPr="0021461B" w:rsidRDefault="00F27598" w:rsidP="00F27598">
      <w:pPr>
        <w:jc w:val="center"/>
        <w:rPr>
          <w:rFonts w:ascii="Tahoma" w:hAnsi="Tahoma" w:cs="Tahoma"/>
          <w:sz w:val="36"/>
          <w:szCs w:val="36"/>
        </w:rPr>
      </w:pPr>
      <w:r w:rsidRPr="0021461B">
        <w:rPr>
          <w:rFonts w:ascii="Tahoma" w:hAnsi="Tahoma" w:cs="Tahoma"/>
          <w:sz w:val="36"/>
          <w:szCs w:val="36"/>
        </w:rPr>
        <w:t>RAWLINS INTERAGENCY DISPATCH CENTER</w:t>
      </w:r>
    </w:p>
    <w:p w:rsidR="003469CF" w:rsidRPr="008B0B24" w:rsidRDefault="003469CF" w:rsidP="00F27598">
      <w:pPr>
        <w:jc w:val="center"/>
        <w:rPr>
          <w:rFonts w:ascii="Cooper Black" w:hAnsi="Cooper Black"/>
          <w:sz w:val="36"/>
          <w:szCs w:val="36"/>
        </w:rPr>
      </w:pPr>
    </w:p>
    <w:p w:rsidR="005E1A12" w:rsidRDefault="004F2D86" w:rsidP="005E1A12">
      <w:pPr>
        <w:keepNext/>
        <w:jc w:val="center"/>
      </w:pPr>
      <w:r>
        <w:rPr>
          <w:noProof/>
        </w:rPr>
        <w:drawing>
          <wp:inline distT="0" distB="0" distL="0" distR="0" wp14:anchorId="4F64ECEE" wp14:editId="6DE23F06">
            <wp:extent cx="2734372" cy="4857109"/>
            <wp:effectExtent l="0" t="0" r="889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34372" cy="4857109"/>
                    </a:xfrm>
                    <a:prstGeom prst="rect">
                      <a:avLst/>
                    </a:prstGeom>
                  </pic:spPr>
                </pic:pic>
              </a:graphicData>
            </a:graphic>
          </wp:inline>
        </w:drawing>
      </w:r>
    </w:p>
    <w:p w:rsidR="00F27598" w:rsidRDefault="005E1A12" w:rsidP="005E1A12">
      <w:pPr>
        <w:pStyle w:val="Caption"/>
        <w:jc w:val="center"/>
        <w:rPr>
          <w:rFonts w:ascii="Broadway" w:hAnsi="Broadway"/>
          <w:sz w:val="32"/>
          <w:szCs w:val="32"/>
        </w:rPr>
      </w:pPr>
      <w:r>
        <w:rPr>
          <w:rFonts w:ascii="Broadway" w:hAnsi="Broadway"/>
          <w:sz w:val="32"/>
          <w:szCs w:val="32"/>
        </w:rPr>
        <w:fldChar w:fldCharType="begin"/>
      </w:r>
      <w:r>
        <w:rPr>
          <w:rFonts w:ascii="Broadway" w:hAnsi="Broadway"/>
          <w:sz w:val="32"/>
          <w:szCs w:val="32"/>
        </w:rPr>
        <w:instrText xml:space="preserve"> SEQ Figure \* ARABIC </w:instrText>
      </w:r>
      <w:r>
        <w:rPr>
          <w:rFonts w:ascii="Broadway" w:hAnsi="Broadway"/>
          <w:sz w:val="32"/>
          <w:szCs w:val="32"/>
        </w:rPr>
        <w:fldChar w:fldCharType="separate"/>
      </w:r>
      <w:r w:rsidR="00B937CA">
        <w:rPr>
          <w:rFonts w:ascii="Broadway" w:hAnsi="Broadway"/>
          <w:noProof/>
          <w:sz w:val="32"/>
          <w:szCs w:val="32"/>
        </w:rPr>
        <w:t>1</w:t>
      </w:r>
      <w:r>
        <w:rPr>
          <w:rFonts w:ascii="Broadway" w:hAnsi="Broadway"/>
          <w:sz w:val="32"/>
          <w:szCs w:val="32"/>
        </w:rPr>
        <w:fldChar w:fldCharType="end"/>
      </w:r>
      <w:r>
        <w:t xml:space="preserve"> </w:t>
      </w:r>
      <w:r w:rsidR="00930D8B">
        <w:t>Montgomery</w:t>
      </w:r>
      <w:r>
        <w:t xml:space="preserve"> RX</w:t>
      </w:r>
    </w:p>
    <w:p w:rsidR="00F27598" w:rsidRDefault="00F27598" w:rsidP="00F27598">
      <w:pPr>
        <w:jc w:val="center"/>
        <w:rPr>
          <w:rFonts w:ascii="Broadway" w:hAnsi="Broadway"/>
          <w:sz w:val="32"/>
          <w:szCs w:val="32"/>
        </w:rPr>
      </w:pPr>
    </w:p>
    <w:p w:rsidR="00F27598" w:rsidRPr="0021461B" w:rsidRDefault="00F27598" w:rsidP="00F27598">
      <w:pPr>
        <w:jc w:val="center"/>
        <w:rPr>
          <w:rFonts w:ascii="Tahoma" w:hAnsi="Tahoma" w:cs="Tahoma"/>
          <w:sz w:val="36"/>
          <w:szCs w:val="36"/>
        </w:rPr>
      </w:pPr>
      <w:r w:rsidRPr="0021461B">
        <w:rPr>
          <w:rFonts w:ascii="Tahoma" w:hAnsi="Tahoma" w:cs="Tahoma"/>
          <w:sz w:val="36"/>
          <w:szCs w:val="36"/>
        </w:rPr>
        <w:t>201</w:t>
      </w:r>
      <w:r w:rsidR="007F200A">
        <w:rPr>
          <w:rFonts w:ascii="Tahoma" w:hAnsi="Tahoma" w:cs="Tahoma"/>
          <w:sz w:val="36"/>
          <w:szCs w:val="36"/>
        </w:rPr>
        <w:t>5</w:t>
      </w:r>
      <w:r w:rsidRPr="0021461B">
        <w:rPr>
          <w:rFonts w:ascii="Tahoma" w:hAnsi="Tahoma" w:cs="Tahoma"/>
          <w:sz w:val="36"/>
          <w:szCs w:val="36"/>
        </w:rPr>
        <w:t xml:space="preserve"> ANNUAL REPORT</w:t>
      </w:r>
    </w:p>
    <w:p w:rsidR="007F200A" w:rsidRDefault="007F200A" w:rsidP="00F27598">
      <w:pPr>
        <w:jc w:val="center"/>
        <w:rPr>
          <w:rFonts w:ascii="Arial" w:hAnsi="Arial" w:cs="Arial"/>
          <w:sz w:val="20"/>
          <w:szCs w:val="36"/>
        </w:rPr>
      </w:pPr>
    </w:p>
    <w:p w:rsidR="007F200A" w:rsidRDefault="007F200A" w:rsidP="00F27598">
      <w:pPr>
        <w:jc w:val="center"/>
        <w:rPr>
          <w:rFonts w:ascii="Arial" w:hAnsi="Arial" w:cs="Arial"/>
          <w:sz w:val="20"/>
          <w:szCs w:val="36"/>
        </w:rPr>
      </w:pPr>
    </w:p>
    <w:p w:rsidR="007F200A" w:rsidRDefault="007F200A" w:rsidP="00F27598">
      <w:pPr>
        <w:jc w:val="center"/>
        <w:rPr>
          <w:rFonts w:ascii="Arial" w:hAnsi="Arial" w:cs="Arial"/>
          <w:sz w:val="20"/>
          <w:szCs w:val="36"/>
        </w:rPr>
      </w:pPr>
    </w:p>
    <w:p w:rsidR="007F200A" w:rsidRDefault="007F200A" w:rsidP="00F27598">
      <w:pPr>
        <w:jc w:val="center"/>
        <w:rPr>
          <w:rFonts w:ascii="Arial" w:hAnsi="Arial" w:cs="Arial"/>
          <w:sz w:val="20"/>
          <w:szCs w:val="36"/>
        </w:rPr>
      </w:pPr>
    </w:p>
    <w:p w:rsidR="003469CF" w:rsidRPr="009F3061" w:rsidRDefault="003469CF" w:rsidP="00F27598">
      <w:pPr>
        <w:jc w:val="center"/>
        <w:rPr>
          <w:rFonts w:ascii="Arial" w:hAnsi="Arial" w:cs="Arial"/>
          <w:sz w:val="20"/>
          <w:szCs w:val="36"/>
        </w:rPr>
      </w:pPr>
      <w:bookmarkStart w:id="0" w:name="_GoBack"/>
      <w:bookmarkEnd w:id="0"/>
      <w:r w:rsidRPr="009F3061">
        <w:rPr>
          <w:rFonts w:ascii="Arial" w:hAnsi="Arial" w:cs="Arial"/>
          <w:sz w:val="20"/>
          <w:szCs w:val="36"/>
        </w:rPr>
        <w:lastRenderedPageBreak/>
        <w:t xml:space="preserve">Prepared by </w:t>
      </w:r>
      <w:r w:rsidR="009F3061" w:rsidRPr="009F3061">
        <w:rPr>
          <w:rFonts w:ascii="Arial" w:hAnsi="Arial" w:cs="Arial"/>
          <w:sz w:val="20"/>
          <w:szCs w:val="36"/>
        </w:rPr>
        <w:t>Gary Batchelder, Acting Center Manager</w:t>
      </w:r>
    </w:p>
    <w:p w:rsidR="00F27598" w:rsidRPr="00410BFC" w:rsidRDefault="00F27598" w:rsidP="00D96DAC">
      <w:pPr>
        <w:spacing w:after="0"/>
        <w:jc w:val="center"/>
        <w:rPr>
          <w:rFonts w:cs="Calibri"/>
          <w:b/>
          <w:sz w:val="28"/>
          <w:szCs w:val="28"/>
        </w:rPr>
      </w:pPr>
      <w:r w:rsidRPr="00410BFC">
        <w:rPr>
          <w:rFonts w:cs="Calibri"/>
          <w:b/>
          <w:sz w:val="28"/>
          <w:szCs w:val="28"/>
        </w:rPr>
        <w:t>Introduction to the Center</w:t>
      </w:r>
    </w:p>
    <w:p w:rsidR="00F27598" w:rsidRDefault="005D3A66" w:rsidP="00D96DAC">
      <w:pPr>
        <w:spacing w:after="0"/>
        <w:rPr>
          <w:rFonts w:cs="Calibri"/>
          <w:sz w:val="24"/>
          <w:szCs w:val="24"/>
        </w:rPr>
      </w:pPr>
      <w:r>
        <w:rPr>
          <w:rFonts w:cs="Calibri"/>
          <w:sz w:val="24"/>
          <w:szCs w:val="24"/>
        </w:rPr>
        <w:t>Rawlins Interagency Dispatch Center is hosted by</w:t>
      </w:r>
      <w:r w:rsidR="00F27598" w:rsidRPr="00410BFC">
        <w:rPr>
          <w:rFonts w:cs="Calibri"/>
          <w:sz w:val="24"/>
          <w:szCs w:val="24"/>
        </w:rPr>
        <w:t xml:space="preserve"> Bureau of Land Management’s High Desert District. The center is located in Rawlins</w:t>
      </w:r>
      <w:r w:rsidR="00265B51">
        <w:rPr>
          <w:rFonts w:cs="Calibri"/>
          <w:sz w:val="24"/>
          <w:szCs w:val="24"/>
        </w:rPr>
        <w:t>,</w:t>
      </w:r>
      <w:r w:rsidR="00F27598" w:rsidRPr="00410BFC">
        <w:rPr>
          <w:rFonts w:cs="Calibri"/>
          <w:sz w:val="24"/>
          <w:szCs w:val="24"/>
        </w:rPr>
        <w:t xml:space="preserve"> WY. Rawlins is a town of 9</w:t>
      </w:r>
      <w:r w:rsidR="00265B51">
        <w:rPr>
          <w:rFonts w:cs="Calibri"/>
          <w:sz w:val="24"/>
          <w:szCs w:val="24"/>
        </w:rPr>
        <w:t>,</w:t>
      </w:r>
      <w:r w:rsidR="00F27598" w:rsidRPr="00410BFC">
        <w:rPr>
          <w:rFonts w:cs="Calibri"/>
          <w:sz w:val="24"/>
          <w:szCs w:val="24"/>
        </w:rPr>
        <w:t xml:space="preserve">700 people located off Interstate 80 in the middle part of the lower half of Wyoming. We provide services for seven counties, four BLM Field Offices, </w:t>
      </w:r>
      <w:r w:rsidR="00F103BB">
        <w:rPr>
          <w:rFonts w:cs="Calibri"/>
          <w:sz w:val="24"/>
          <w:szCs w:val="24"/>
        </w:rPr>
        <w:t xml:space="preserve">BLM Wyoming State Office, </w:t>
      </w:r>
      <w:r w:rsidR="00F27598" w:rsidRPr="00410BFC">
        <w:rPr>
          <w:rFonts w:cs="Calibri"/>
          <w:sz w:val="24"/>
          <w:szCs w:val="24"/>
        </w:rPr>
        <w:t xml:space="preserve">Wyoming State Forestry, </w:t>
      </w:r>
      <w:r w:rsidR="00C55932">
        <w:rPr>
          <w:rFonts w:cs="Calibri"/>
          <w:sz w:val="24"/>
          <w:szCs w:val="24"/>
        </w:rPr>
        <w:t xml:space="preserve">the </w:t>
      </w:r>
      <w:r w:rsidR="00F27598" w:rsidRPr="00410BFC">
        <w:rPr>
          <w:rFonts w:cs="Calibri"/>
          <w:sz w:val="24"/>
          <w:szCs w:val="24"/>
        </w:rPr>
        <w:t xml:space="preserve">National Park Service, and </w:t>
      </w:r>
      <w:r w:rsidR="00C55932">
        <w:rPr>
          <w:rFonts w:cs="Calibri"/>
          <w:sz w:val="24"/>
          <w:szCs w:val="24"/>
        </w:rPr>
        <w:t xml:space="preserve">the US </w:t>
      </w:r>
      <w:r w:rsidR="00F27598" w:rsidRPr="00410BFC">
        <w:rPr>
          <w:rFonts w:cs="Calibri"/>
          <w:sz w:val="24"/>
          <w:szCs w:val="24"/>
        </w:rPr>
        <w:t xml:space="preserve">Fish </w:t>
      </w:r>
      <w:r w:rsidR="00C55932">
        <w:rPr>
          <w:rFonts w:cs="Calibri"/>
          <w:sz w:val="24"/>
          <w:szCs w:val="24"/>
        </w:rPr>
        <w:t xml:space="preserve">&amp; </w:t>
      </w:r>
      <w:r w:rsidR="00F27598" w:rsidRPr="00410BFC">
        <w:rPr>
          <w:rFonts w:cs="Calibri"/>
          <w:sz w:val="24"/>
          <w:szCs w:val="24"/>
        </w:rPr>
        <w:t>Wildlife Service.</w:t>
      </w:r>
    </w:p>
    <w:p w:rsidR="00740D1D" w:rsidRPr="00410BFC" w:rsidRDefault="00740D1D" w:rsidP="00D96DAC">
      <w:pPr>
        <w:spacing w:after="0"/>
        <w:rPr>
          <w:rFonts w:cs="Calibri"/>
          <w:sz w:val="24"/>
          <w:szCs w:val="24"/>
        </w:rPr>
      </w:pPr>
    </w:p>
    <w:p w:rsidR="00F27598" w:rsidRDefault="00F27598" w:rsidP="00D96DAC">
      <w:pPr>
        <w:spacing w:after="0"/>
        <w:rPr>
          <w:rFonts w:cs="Calibri"/>
          <w:sz w:val="24"/>
          <w:szCs w:val="24"/>
        </w:rPr>
      </w:pPr>
      <w:r w:rsidRPr="00410BFC">
        <w:rPr>
          <w:rFonts w:cs="Calibri"/>
          <w:sz w:val="24"/>
          <w:szCs w:val="24"/>
        </w:rPr>
        <w:t>Our staff includes one Center Manager</w:t>
      </w:r>
      <w:r w:rsidR="00561109" w:rsidRPr="00410BFC">
        <w:rPr>
          <w:rFonts w:cs="Calibri"/>
          <w:sz w:val="24"/>
          <w:szCs w:val="24"/>
        </w:rPr>
        <w:t xml:space="preserve">, one Assistant Center Manager, one </w:t>
      </w:r>
      <w:r w:rsidR="009F3061">
        <w:rPr>
          <w:rFonts w:cs="Calibri"/>
          <w:sz w:val="24"/>
          <w:szCs w:val="24"/>
        </w:rPr>
        <w:t xml:space="preserve">permanent full time </w:t>
      </w:r>
      <w:r w:rsidR="00561109" w:rsidRPr="00410BFC">
        <w:rPr>
          <w:rFonts w:cs="Calibri"/>
          <w:sz w:val="24"/>
          <w:szCs w:val="24"/>
        </w:rPr>
        <w:t>Initial Attack Dispatcher</w:t>
      </w:r>
      <w:r w:rsidR="00C55932">
        <w:rPr>
          <w:rFonts w:cs="Calibri"/>
          <w:sz w:val="24"/>
          <w:szCs w:val="24"/>
        </w:rPr>
        <w:t xml:space="preserve">, </w:t>
      </w:r>
      <w:r w:rsidR="00C55932" w:rsidRPr="00410BFC">
        <w:rPr>
          <w:rFonts w:cs="Calibri"/>
          <w:sz w:val="24"/>
          <w:szCs w:val="24"/>
        </w:rPr>
        <w:t>and</w:t>
      </w:r>
      <w:r w:rsidR="00561109" w:rsidRPr="00410BFC">
        <w:rPr>
          <w:rFonts w:cs="Calibri"/>
          <w:sz w:val="24"/>
          <w:szCs w:val="24"/>
        </w:rPr>
        <w:t xml:space="preserve"> one career-seasonal Logistics Dispatcher</w:t>
      </w:r>
      <w:r w:rsidR="009F3061">
        <w:rPr>
          <w:rFonts w:cs="Calibri"/>
          <w:sz w:val="24"/>
          <w:szCs w:val="24"/>
        </w:rPr>
        <w:t xml:space="preserve"> to be hired spring of 2015</w:t>
      </w:r>
      <w:r w:rsidR="00561109" w:rsidRPr="00410BFC">
        <w:rPr>
          <w:rFonts w:cs="Calibri"/>
          <w:sz w:val="24"/>
          <w:szCs w:val="24"/>
        </w:rPr>
        <w:t xml:space="preserve">.  During the summer months we hire </w:t>
      </w:r>
      <w:r w:rsidR="00C55932">
        <w:rPr>
          <w:rFonts w:cs="Calibri"/>
          <w:sz w:val="24"/>
          <w:szCs w:val="24"/>
        </w:rPr>
        <w:t>one</w:t>
      </w:r>
      <w:r w:rsidR="00561109" w:rsidRPr="00410BFC">
        <w:rPr>
          <w:rFonts w:cs="Calibri"/>
          <w:sz w:val="24"/>
          <w:szCs w:val="24"/>
        </w:rPr>
        <w:t xml:space="preserve"> to </w:t>
      </w:r>
      <w:r w:rsidR="00C55932">
        <w:rPr>
          <w:rFonts w:cs="Calibri"/>
          <w:sz w:val="24"/>
          <w:szCs w:val="24"/>
        </w:rPr>
        <w:t>three</w:t>
      </w:r>
      <w:r w:rsidR="00561109" w:rsidRPr="00410BFC">
        <w:rPr>
          <w:rFonts w:cs="Calibri"/>
          <w:sz w:val="24"/>
          <w:szCs w:val="24"/>
        </w:rPr>
        <w:t xml:space="preserve"> seasonal dispatchers.  This year we had </w:t>
      </w:r>
      <w:r w:rsidR="00BC20B2">
        <w:rPr>
          <w:rFonts w:cs="Calibri"/>
          <w:sz w:val="24"/>
          <w:szCs w:val="24"/>
        </w:rPr>
        <w:t>two</w:t>
      </w:r>
      <w:r w:rsidR="00561109" w:rsidRPr="00410BFC">
        <w:rPr>
          <w:rFonts w:cs="Calibri"/>
          <w:sz w:val="24"/>
          <w:szCs w:val="24"/>
        </w:rPr>
        <w:t xml:space="preserve"> seasonal dispatchers.</w:t>
      </w:r>
    </w:p>
    <w:p w:rsidR="00740D1D" w:rsidRPr="00410BFC" w:rsidRDefault="00740D1D" w:rsidP="00D96DAC">
      <w:pPr>
        <w:spacing w:after="0"/>
        <w:rPr>
          <w:rFonts w:cs="Calibri"/>
          <w:sz w:val="24"/>
          <w:szCs w:val="24"/>
        </w:rPr>
      </w:pPr>
    </w:p>
    <w:p w:rsidR="00D83E3C" w:rsidRPr="00410BFC" w:rsidRDefault="005D3A66" w:rsidP="00D96DAC">
      <w:pPr>
        <w:spacing w:after="0"/>
        <w:rPr>
          <w:rFonts w:cs="Calibri"/>
          <w:sz w:val="24"/>
          <w:szCs w:val="24"/>
        </w:rPr>
      </w:pPr>
      <w:r>
        <w:rPr>
          <w:rFonts w:cs="Calibri"/>
          <w:sz w:val="24"/>
          <w:szCs w:val="24"/>
        </w:rPr>
        <w:t>The dispatch zone</w:t>
      </w:r>
      <w:r w:rsidR="00561109" w:rsidRPr="00410BFC">
        <w:rPr>
          <w:rFonts w:cs="Calibri"/>
          <w:sz w:val="24"/>
          <w:szCs w:val="24"/>
        </w:rPr>
        <w:t xml:space="preserve"> covers approximately 21 million acres in the state of Wyoming. 48% of this land is owned by the Federal Government</w:t>
      </w:r>
      <w:r w:rsidR="00D83E3C" w:rsidRPr="00410BFC">
        <w:rPr>
          <w:rFonts w:cs="Calibri"/>
          <w:sz w:val="24"/>
          <w:szCs w:val="24"/>
        </w:rPr>
        <w:t xml:space="preserve"> (approximately 10 million acres)</w:t>
      </w:r>
      <w:r w:rsidR="00561109" w:rsidRPr="00410BFC">
        <w:rPr>
          <w:rFonts w:cs="Calibri"/>
          <w:sz w:val="24"/>
          <w:szCs w:val="24"/>
        </w:rPr>
        <w:t>.</w:t>
      </w:r>
      <w:r w:rsidR="00D83E3C" w:rsidRPr="00410BFC">
        <w:rPr>
          <w:rFonts w:cs="Calibri"/>
          <w:sz w:val="24"/>
          <w:szCs w:val="24"/>
        </w:rPr>
        <w:t xml:space="preserve"> A large percent of </w:t>
      </w:r>
      <w:r w:rsidR="004F2D86">
        <w:rPr>
          <w:rFonts w:cs="Calibri"/>
          <w:sz w:val="24"/>
          <w:szCs w:val="24"/>
        </w:rPr>
        <w:t xml:space="preserve">the </w:t>
      </w:r>
      <w:r w:rsidR="00D83E3C" w:rsidRPr="00410BFC">
        <w:rPr>
          <w:rFonts w:cs="Calibri"/>
          <w:sz w:val="24"/>
          <w:szCs w:val="24"/>
        </w:rPr>
        <w:t>High Desert District is checkerboard due to the Union Pacific Railroad that runs through Southern Wyoming. This type of land ownership is cause for</w:t>
      </w:r>
      <w:r w:rsidR="00265B51">
        <w:rPr>
          <w:rFonts w:cs="Calibri"/>
          <w:sz w:val="24"/>
          <w:szCs w:val="24"/>
        </w:rPr>
        <w:t xml:space="preserve"> a</w:t>
      </w:r>
      <w:r w:rsidR="00D83E3C" w:rsidRPr="00410BFC">
        <w:rPr>
          <w:rFonts w:cs="Calibri"/>
          <w:sz w:val="24"/>
          <w:szCs w:val="24"/>
        </w:rPr>
        <w:t xml:space="preserve"> multiple agency response to incidents throughout the District.</w:t>
      </w:r>
    </w:p>
    <w:p w:rsidR="00DD2DBB" w:rsidRDefault="00DD2DBB" w:rsidP="00D96DAC">
      <w:pPr>
        <w:spacing w:after="0"/>
        <w:jc w:val="center"/>
        <w:rPr>
          <w:rFonts w:cs="Calibri"/>
          <w:b/>
          <w:sz w:val="28"/>
          <w:szCs w:val="28"/>
        </w:rPr>
      </w:pPr>
    </w:p>
    <w:p w:rsidR="006D596D" w:rsidRDefault="006D596D" w:rsidP="00D96DAC">
      <w:pPr>
        <w:spacing w:after="0"/>
        <w:jc w:val="center"/>
        <w:rPr>
          <w:rFonts w:cs="Calibri"/>
          <w:b/>
          <w:sz w:val="28"/>
          <w:szCs w:val="28"/>
        </w:rPr>
      </w:pPr>
      <w:r>
        <w:rPr>
          <w:rFonts w:cs="Calibri"/>
          <w:b/>
          <w:sz w:val="28"/>
          <w:szCs w:val="28"/>
        </w:rPr>
        <w:t>Center Funding</w:t>
      </w:r>
    </w:p>
    <w:p w:rsidR="00BD0743" w:rsidRDefault="006D596D" w:rsidP="006D596D">
      <w:pPr>
        <w:spacing w:after="0"/>
        <w:rPr>
          <w:rFonts w:cs="Calibri"/>
          <w:sz w:val="24"/>
          <w:szCs w:val="28"/>
        </w:rPr>
      </w:pPr>
      <w:r w:rsidRPr="006D596D">
        <w:rPr>
          <w:rFonts w:cs="Calibri"/>
          <w:sz w:val="24"/>
          <w:szCs w:val="28"/>
        </w:rPr>
        <w:t xml:space="preserve">Rawlins </w:t>
      </w:r>
      <w:r>
        <w:rPr>
          <w:rFonts w:cs="Calibri"/>
          <w:sz w:val="24"/>
          <w:szCs w:val="28"/>
        </w:rPr>
        <w:t>Dispatch Center is funded predominantly by the Bureau of Land Management through the High Desert District. This includes facility costs for the center as well as labor costs associated with staffing the center. All personnel are BLM funded employees, assigned to the High Desert District’s Fire Management program</w:t>
      </w:r>
      <w:r w:rsidR="00352D01">
        <w:rPr>
          <w:rFonts w:cs="Calibri"/>
          <w:sz w:val="24"/>
          <w:szCs w:val="28"/>
        </w:rPr>
        <w:t>.</w:t>
      </w:r>
    </w:p>
    <w:p w:rsidR="00352D01" w:rsidRDefault="00352D01" w:rsidP="006D596D">
      <w:pPr>
        <w:spacing w:after="0"/>
        <w:rPr>
          <w:rFonts w:cs="Calibri"/>
          <w:sz w:val="24"/>
          <w:szCs w:val="28"/>
        </w:rPr>
      </w:pPr>
    </w:p>
    <w:p w:rsidR="0017592F" w:rsidRDefault="00352D01" w:rsidP="00352D01">
      <w:pPr>
        <w:spacing w:after="0"/>
        <w:jc w:val="center"/>
        <w:rPr>
          <w:rFonts w:cs="Calibri"/>
          <w:sz w:val="24"/>
          <w:szCs w:val="28"/>
        </w:rPr>
      </w:pPr>
      <w:r>
        <w:rPr>
          <w:rFonts w:cs="Calibri"/>
          <w:sz w:val="24"/>
          <w:szCs w:val="28"/>
        </w:rPr>
        <w:t>FY15 Projected labor costs</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3"/>
        <w:gridCol w:w="990"/>
        <w:gridCol w:w="1432"/>
      </w:tblGrid>
      <w:tr w:rsidR="00FF55EB" w:rsidTr="00121761">
        <w:trPr>
          <w:jc w:val="center"/>
        </w:trPr>
        <w:tc>
          <w:tcPr>
            <w:tcW w:w="0" w:type="auto"/>
          </w:tcPr>
          <w:p w:rsidR="00FF55EB" w:rsidRDefault="00FF55EB" w:rsidP="00AE05FD">
            <w:pPr>
              <w:spacing w:after="0"/>
              <w:jc w:val="center"/>
              <w:rPr>
                <w:rFonts w:cs="Calibri"/>
                <w:sz w:val="24"/>
                <w:szCs w:val="28"/>
              </w:rPr>
            </w:pPr>
            <w:r>
              <w:rPr>
                <w:rFonts w:cs="Calibri"/>
                <w:sz w:val="24"/>
                <w:szCs w:val="28"/>
              </w:rPr>
              <w:t>Center Manager</w:t>
            </w:r>
          </w:p>
        </w:tc>
        <w:tc>
          <w:tcPr>
            <w:tcW w:w="0" w:type="auto"/>
          </w:tcPr>
          <w:p w:rsidR="00FF55EB" w:rsidRDefault="00FF55EB" w:rsidP="00AE05FD">
            <w:pPr>
              <w:spacing w:after="0"/>
              <w:jc w:val="center"/>
              <w:rPr>
                <w:rFonts w:cs="Calibri"/>
                <w:sz w:val="24"/>
                <w:szCs w:val="28"/>
              </w:rPr>
            </w:pPr>
            <w:r>
              <w:rPr>
                <w:rFonts w:cs="Calibri"/>
                <w:sz w:val="24"/>
                <w:szCs w:val="28"/>
              </w:rPr>
              <w:t>GS 11/1</w:t>
            </w:r>
          </w:p>
        </w:tc>
        <w:tc>
          <w:tcPr>
            <w:tcW w:w="0" w:type="auto"/>
          </w:tcPr>
          <w:p w:rsidR="00FF55EB" w:rsidRDefault="00FF55EB" w:rsidP="00AE05FD">
            <w:pPr>
              <w:spacing w:after="0"/>
              <w:jc w:val="center"/>
              <w:rPr>
                <w:rFonts w:cs="Calibri"/>
                <w:sz w:val="24"/>
                <w:szCs w:val="28"/>
              </w:rPr>
            </w:pPr>
            <w:r>
              <w:rPr>
                <w:rFonts w:cs="Calibri"/>
                <w:sz w:val="24"/>
                <w:szCs w:val="28"/>
              </w:rPr>
              <w:t>$65,000</w:t>
            </w:r>
            <w:r w:rsidR="00121761">
              <w:rPr>
                <w:rFonts w:cs="Calibri"/>
                <w:sz w:val="24"/>
                <w:szCs w:val="28"/>
              </w:rPr>
              <w:t>*</w:t>
            </w:r>
          </w:p>
        </w:tc>
      </w:tr>
      <w:tr w:rsidR="00FF55EB" w:rsidTr="00121761">
        <w:trPr>
          <w:jc w:val="center"/>
        </w:trPr>
        <w:tc>
          <w:tcPr>
            <w:tcW w:w="0" w:type="auto"/>
          </w:tcPr>
          <w:p w:rsidR="00FF55EB" w:rsidRDefault="00FF55EB" w:rsidP="00AE05FD">
            <w:pPr>
              <w:spacing w:after="0"/>
              <w:jc w:val="center"/>
              <w:rPr>
                <w:rFonts w:cs="Calibri"/>
                <w:sz w:val="24"/>
                <w:szCs w:val="28"/>
              </w:rPr>
            </w:pPr>
            <w:r>
              <w:rPr>
                <w:rFonts w:cs="Calibri"/>
                <w:sz w:val="24"/>
                <w:szCs w:val="28"/>
              </w:rPr>
              <w:t>Asst. Center Manager</w:t>
            </w:r>
          </w:p>
        </w:tc>
        <w:tc>
          <w:tcPr>
            <w:tcW w:w="0" w:type="auto"/>
          </w:tcPr>
          <w:p w:rsidR="00FF55EB" w:rsidRDefault="00FF55EB" w:rsidP="00AE05FD">
            <w:pPr>
              <w:spacing w:after="0"/>
              <w:jc w:val="center"/>
              <w:rPr>
                <w:rFonts w:cs="Calibri"/>
                <w:sz w:val="24"/>
                <w:szCs w:val="28"/>
              </w:rPr>
            </w:pPr>
            <w:r>
              <w:rPr>
                <w:rFonts w:cs="Calibri"/>
                <w:sz w:val="24"/>
                <w:szCs w:val="28"/>
              </w:rPr>
              <w:t>GS 9/1</w:t>
            </w:r>
          </w:p>
        </w:tc>
        <w:tc>
          <w:tcPr>
            <w:tcW w:w="0" w:type="auto"/>
          </w:tcPr>
          <w:p w:rsidR="00FF55EB" w:rsidRDefault="00FF55EB" w:rsidP="00AE05FD">
            <w:pPr>
              <w:spacing w:after="0"/>
              <w:jc w:val="center"/>
              <w:rPr>
                <w:rFonts w:cs="Calibri"/>
                <w:sz w:val="24"/>
                <w:szCs w:val="28"/>
              </w:rPr>
            </w:pPr>
            <w:r>
              <w:rPr>
                <w:rFonts w:cs="Calibri"/>
                <w:sz w:val="24"/>
                <w:szCs w:val="28"/>
              </w:rPr>
              <w:t>$76,000</w:t>
            </w:r>
          </w:p>
        </w:tc>
      </w:tr>
      <w:tr w:rsidR="00FF55EB" w:rsidTr="00121761">
        <w:trPr>
          <w:jc w:val="center"/>
        </w:trPr>
        <w:tc>
          <w:tcPr>
            <w:tcW w:w="0" w:type="auto"/>
          </w:tcPr>
          <w:p w:rsidR="00FF55EB" w:rsidRDefault="00FF55EB" w:rsidP="00AE05FD">
            <w:pPr>
              <w:spacing w:after="0"/>
              <w:jc w:val="center"/>
              <w:rPr>
                <w:rFonts w:cs="Calibri"/>
                <w:sz w:val="24"/>
                <w:szCs w:val="28"/>
              </w:rPr>
            </w:pPr>
            <w:r>
              <w:rPr>
                <w:rFonts w:cs="Calibri"/>
                <w:sz w:val="24"/>
                <w:szCs w:val="28"/>
              </w:rPr>
              <w:t>IA/Aircraft Dispatcher</w:t>
            </w:r>
          </w:p>
        </w:tc>
        <w:tc>
          <w:tcPr>
            <w:tcW w:w="0" w:type="auto"/>
          </w:tcPr>
          <w:p w:rsidR="00FF55EB" w:rsidRDefault="00FF55EB" w:rsidP="00AE05FD">
            <w:pPr>
              <w:spacing w:after="0"/>
              <w:jc w:val="center"/>
              <w:rPr>
                <w:rFonts w:cs="Calibri"/>
                <w:sz w:val="24"/>
                <w:szCs w:val="28"/>
              </w:rPr>
            </w:pPr>
            <w:r>
              <w:rPr>
                <w:rFonts w:cs="Calibri"/>
                <w:sz w:val="24"/>
                <w:szCs w:val="28"/>
              </w:rPr>
              <w:t>GS 7/1</w:t>
            </w:r>
          </w:p>
        </w:tc>
        <w:tc>
          <w:tcPr>
            <w:tcW w:w="0" w:type="auto"/>
          </w:tcPr>
          <w:p w:rsidR="00FF55EB" w:rsidRDefault="00FF55EB" w:rsidP="00AE05FD">
            <w:pPr>
              <w:spacing w:after="0"/>
              <w:jc w:val="center"/>
              <w:rPr>
                <w:rFonts w:cs="Calibri"/>
                <w:sz w:val="24"/>
                <w:szCs w:val="28"/>
              </w:rPr>
            </w:pPr>
            <w:r>
              <w:rPr>
                <w:rFonts w:cs="Calibri"/>
                <w:sz w:val="24"/>
                <w:szCs w:val="28"/>
              </w:rPr>
              <w:t>$58,000</w:t>
            </w:r>
          </w:p>
        </w:tc>
      </w:tr>
      <w:tr w:rsidR="00FF55EB" w:rsidTr="00121761">
        <w:trPr>
          <w:jc w:val="center"/>
        </w:trPr>
        <w:tc>
          <w:tcPr>
            <w:tcW w:w="0" w:type="auto"/>
          </w:tcPr>
          <w:p w:rsidR="00FF55EB" w:rsidRDefault="00FF55EB" w:rsidP="00AE05FD">
            <w:pPr>
              <w:spacing w:after="0"/>
              <w:jc w:val="center"/>
              <w:rPr>
                <w:rFonts w:cs="Calibri"/>
                <w:sz w:val="24"/>
                <w:szCs w:val="28"/>
              </w:rPr>
            </w:pPr>
            <w:r>
              <w:rPr>
                <w:rFonts w:cs="Calibri"/>
                <w:sz w:val="24"/>
                <w:szCs w:val="28"/>
              </w:rPr>
              <w:t>Logistics Dispatcher</w:t>
            </w:r>
          </w:p>
        </w:tc>
        <w:tc>
          <w:tcPr>
            <w:tcW w:w="0" w:type="auto"/>
          </w:tcPr>
          <w:p w:rsidR="00FF55EB" w:rsidRDefault="00FF55EB" w:rsidP="00AE05FD">
            <w:pPr>
              <w:spacing w:after="0"/>
              <w:jc w:val="center"/>
              <w:rPr>
                <w:rFonts w:cs="Calibri"/>
                <w:sz w:val="24"/>
                <w:szCs w:val="28"/>
              </w:rPr>
            </w:pPr>
            <w:r>
              <w:rPr>
                <w:rFonts w:cs="Calibri"/>
                <w:sz w:val="24"/>
                <w:szCs w:val="28"/>
              </w:rPr>
              <w:t>GS 7/1</w:t>
            </w:r>
          </w:p>
        </w:tc>
        <w:tc>
          <w:tcPr>
            <w:tcW w:w="0" w:type="auto"/>
          </w:tcPr>
          <w:p w:rsidR="00FF55EB" w:rsidRDefault="00FF55EB" w:rsidP="00AE05FD">
            <w:pPr>
              <w:spacing w:after="0"/>
              <w:jc w:val="center"/>
              <w:rPr>
                <w:rFonts w:cs="Calibri"/>
                <w:sz w:val="24"/>
                <w:szCs w:val="28"/>
              </w:rPr>
            </w:pPr>
            <w:r>
              <w:rPr>
                <w:rFonts w:cs="Calibri"/>
                <w:sz w:val="24"/>
                <w:szCs w:val="28"/>
              </w:rPr>
              <w:t>$28,000</w:t>
            </w:r>
          </w:p>
        </w:tc>
      </w:tr>
      <w:tr w:rsidR="00FF55EB" w:rsidTr="00121761">
        <w:trPr>
          <w:jc w:val="center"/>
        </w:trPr>
        <w:tc>
          <w:tcPr>
            <w:tcW w:w="0" w:type="auto"/>
          </w:tcPr>
          <w:p w:rsidR="00FF55EB" w:rsidRDefault="00FF55EB" w:rsidP="00AE05FD">
            <w:pPr>
              <w:spacing w:after="0"/>
              <w:jc w:val="center"/>
              <w:rPr>
                <w:rFonts w:cs="Calibri"/>
                <w:sz w:val="24"/>
                <w:szCs w:val="28"/>
              </w:rPr>
            </w:pPr>
            <w:r>
              <w:rPr>
                <w:rFonts w:cs="Calibri"/>
                <w:sz w:val="24"/>
                <w:szCs w:val="28"/>
              </w:rPr>
              <w:t>Seasonal Dispatcher</w:t>
            </w:r>
          </w:p>
        </w:tc>
        <w:tc>
          <w:tcPr>
            <w:tcW w:w="0" w:type="auto"/>
          </w:tcPr>
          <w:p w:rsidR="00FF55EB" w:rsidRDefault="00FF55EB" w:rsidP="00AE05FD">
            <w:pPr>
              <w:spacing w:after="0"/>
              <w:jc w:val="center"/>
              <w:rPr>
                <w:rFonts w:cs="Calibri"/>
                <w:sz w:val="24"/>
                <w:szCs w:val="28"/>
              </w:rPr>
            </w:pPr>
            <w:r>
              <w:rPr>
                <w:rFonts w:cs="Calibri"/>
                <w:sz w:val="24"/>
                <w:szCs w:val="28"/>
              </w:rPr>
              <w:t>GS 5/1</w:t>
            </w:r>
          </w:p>
        </w:tc>
        <w:tc>
          <w:tcPr>
            <w:tcW w:w="0" w:type="auto"/>
          </w:tcPr>
          <w:p w:rsidR="00FF55EB" w:rsidRDefault="00FF55EB" w:rsidP="00AE05FD">
            <w:pPr>
              <w:spacing w:after="0"/>
              <w:jc w:val="center"/>
              <w:rPr>
                <w:rFonts w:cs="Calibri"/>
                <w:sz w:val="24"/>
                <w:szCs w:val="28"/>
              </w:rPr>
            </w:pPr>
            <w:r>
              <w:rPr>
                <w:rFonts w:cs="Calibri"/>
                <w:sz w:val="24"/>
                <w:szCs w:val="28"/>
              </w:rPr>
              <w:t>$15,000</w:t>
            </w:r>
          </w:p>
        </w:tc>
      </w:tr>
      <w:tr w:rsidR="00FF55EB" w:rsidTr="00121761">
        <w:trPr>
          <w:jc w:val="center"/>
        </w:trPr>
        <w:tc>
          <w:tcPr>
            <w:tcW w:w="0" w:type="auto"/>
          </w:tcPr>
          <w:p w:rsidR="00FF55EB" w:rsidRDefault="00FF55EB" w:rsidP="00AE05FD">
            <w:pPr>
              <w:spacing w:after="0"/>
              <w:jc w:val="center"/>
              <w:rPr>
                <w:rFonts w:cs="Calibri"/>
                <w:sz w:val="24"/>
                <w:szCs w:val="28"/>
              </w:rPr>
            </w:pPr>
          </w:p>
        </w:tc>
        <w:tc>
          <w:tcPr>
            <w:tcW w:w="0" w:type="auto"/>
          </w:tcPr>
          <w:p w:rsidR="00FF55EB" w:rsidRDefault="00FF55EB" w:rsidP="00AE05FD">
            <w:pPr>
              <w:spacing w:after="0"/>
              <w:jc w:val="center"/>
              <w:rPr>
                <w:rFonts w:cs="Calibri"/>
                <w:sz w:val="24"/>
                <w:szCs w:val="28"/>
              </w:rPr>
            </w:pPr>
          </w:p>
        </w:tc>
        <w:tc>
          <w:tcPr>
            <w:tcW w:w="0" w:type="auto"/>
          </w:tcPr>
          <w:p w:rsidR="00FF55EB" w:rsidRDefault="00121761" w:rsidP="00AE05FD">
            <w:pPr>
              <w:spacing w:after="0"/>
              <w:jc w:val="center"/>
              <w:rPr>
                <w:rFonts w:cs="Calibri"/>
                <w:sz w:val="24"/>
                <w:szCs w:val="28"/>
              </w:rPr>
            </w:pPr>
            <w:r>
              <w:rPr>
                <w:rFonts w:cs="Calibri"/>
                <w:sz w:val="24"/>
                <w:szCs w:val="28"/>
              </w:rPr>
              <w:fldChar w:fldCharType="begin"/>
            </w:r>
            <w:r>
              <w:rPr>
                <w:rFonts w:cs="Calibri"/>
                <w:sz w:val="24"/>
                <w:szCs w:val="28"/>
              </w:rPr>
              <w:instrText xml:space="preserve"> =SUM(ABOVE) </w:instrText>
            </w:r>
            <w:r>
              <w:rPr>
                <w:rFonts w:cs="Calibri"/>
                <w:sz w:val="24"/>
                <w:szCs w:val="28"/>
              </w:rPr>
              <w:fldChar w:fldCharType="separate"/>
            </w:r>
            <w:r>
              <w:rPr>
                <w:rFonts w:cs="Calibri"/>
                <w:noProof/>
                <w:sz w:val="24"/>
                <w:szCs w:val="28"/>
              </w:rPr>
              <w:t>$242,000.00</w:t>
            </w:r>
            <w:r>
              <w:rPr>
                <w:rFonts w:cs="Calibri"/>
                <w:sz w:val="24"/>
                <w:szCs w:val="28"/>
              </w:rPr>
              <w:fldChar w:fldCharType="end"/>
            </w:r>
          </w:p>
        </w:tc>
      </w:tr>
    </w:tbl>
    <w:p w:rsidR="00352D01" w:rsidRDefault="00352D01" w:rsidP="00AE05FD">
      <w:pPr>
        <w:spacing w:after="0"/>
        <w:jc w:val="center"/>
        <w:rPr>
          <w:rFonts w:cs="Calibri"/>
          <w:sz w:val="20"/>
          <w:szCs w:val="20"/>
        </w:rPr>
      </w:pPr>
      <w:r w:rsidRPr="00352D01">
        <w:rPr>
          <w:rFonts w:cs="Calibri"/>
          <w:sz w:val="24"/>
          <w:szCs w:val="28"/>
        </w:rPr>
        <w:t>*</w:t>
      </w:r>
      <w:r w:rsidRPr="00352D01">
        <w:rPr>
          <w:rFonts w:cs="Calibri"/>
          <w:sz w:val="20"/>
          <w:szCs w:val="20"/>
        </w:rPr>
        <w:t>NC detail reduced CM labor cost by approx. $30K</w:t>
      </w:r>
    </w:p>
    <w:p w:rsidR="00352D01" w:rsidRDefault="00352D01" w:rsidP="00AE05FD">
      <w:pPr>
        <w:spacing w:after="0"/>
        <w:jc w:val="center"/>
        <w:rPr>
          <w:rFonts w:cs="Calibri"/>
          <w:sz w:val="20"/>
          <w:szCs w:val="20"/>
        </w:rPr>
      </w:pPr>
    </w:p>
    <w:p w:rsidR="00121761" w:rsidRDefault="00121761" w:rsidP="00AE05FD">
      <w:pPr>
        <w:spacing w:after="0"/>
        <w:jc w:val="center"/>
        <w:rPr>
          <w:rFonts w:cs="Calibri"/>
          <w:sz w:val="20"/>
          <w:szCs w:val="20"/>
        </w:rPr>
      </w:pPr>
    </w:p>
    <w:p w:rsidR="00121761" w:rsidRDefault="00121761" w:rsidP="00AE05FD">
      <w:pPr>
        <w:spacing w:after="0"/>
        <w:jc w:val="center"/>
        <w:rPr>
          <w:rFonts w:cs="Calibri"/>
          <w:sz w:val="20"/>
          <w:szCs w:val="20"/>
        </w:rPr>
      </w:pPr>
    </w:p>
    <w:p w:rsidR="00121761" w:rsidRDefault="00121761" w:rsidP="00AE05FD">
      <w:pPr>
        <w:spacing w:after="0"/>
        <w:jc w:val="center"/>
        <w:rPr>
          <w:rFonts w:cs="Calibri"/>
          <w:sz w:val="20"/>
          <w:szCs w:val="20"/>
        </w:rPr>
      </w:pPr>
    </w:p>
    <w:p w:rsidR="00121761" w:rsidRDefault="00121761" w:rsidP="00AE05FD">
      <w:pPr>
        <w:spacing w:after="0"/>
        <w:jc w:val="center"/>
        <w:rPr>
          <w:rFonts w:cs="Calibri"/>
          <w:sz w:val="20"/>
          <w:szCs w:val="20"/>
        </w:rPr>
      </w:pPr>
    </w:p>
    <w:p w:rsidR="00121761" w:rsidRDefault="00121761" w:rsidP="00AE05FD">
      <w:pPr>
        <w:spacing w:after="0"/>
        <w:jc w:val="center"/>
        <w:rPr>
          <w:rFonts w:cs="Calibri"/>
          <w:sz w:val="20"/>
          <w:szCs w:val="20"/>
        </w:rPr>
      </w:pPr>
    </w:p>
    <w:p w:rsidR="00121761" w:rsidRDefault="00121761" w:rsidP="00AE05FD">
      <w:pPr>
        <w:spacing w:after="0"/>
        <w:jc w:val="center"/>
        <w:rPr>
          <w:rFonts w:cs="Calibri"/>
          <w:sz w:val="20"/>
          <w:szCs w:val="20"/>
        </w:rPr>
      </w:pPr>
    </w:p>
    <w:p w:rsidR="00121761" w:rsidRDefault="00121761" w:rsidP="00AE05FD">
      <w:pPr>
        <w:spacing w:after="0"/>
        <w:jc w:val="center"/>
        <w:rPr>
          <w:rFonts w:cs="Calibri"/>
          <w:sz w:val="20"/>
          <w:szCs w:val="20"/>
        </w:rPr>
      </w:pPr>
      <w:r w:rsidRPr="00121761">
        <w:rPr>
          <w:rFonts w:cs="Calibri"/>
          <w:sz w:val="24"/>
          <w:szCs w:val="24"/>
        </w:rPr>
        <w:t>Projected cost of fully staffed dispatch center</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3"/>
        <w:gridCol w:w="990"/>
        <w:gridCol w:w="1432"/>
      </w:tblGrid>
      <w:tr w:rsidR="00121761" w:rsidTr="00121761">
        <w:trPr>
          <w:jc w:val="center"/>
        </w:trPr>
        <w:tc>
          <w:tcPr>
            <w:tcW w:w="0" w:type="auto"/>
          </w:tcPr>
          <w:p w:rsidR="00121761" w:rsidRPr="00121761" w:rsidRDefault="00121761" w:rsidP="00121761">
            <w:pPr>
              <w:spacing w:after="0"/>
              <w:jc w:val="center"/>
              <w:rPr>
                <w:rFonts w:cs="Calibri"/>
                <w:sz w:val="24"/>
                <w:szCs w:val="24"/>
              </w:rPr>
            </w:pPr>
            <w:r w:rsidRPr="00121761">
              <w:rPr>
                <w:rFonts w:cs="Calibri"/>
                <w:sz w:val="24"/>
                <w:szCs w:val="24"/>
              </w:rPr>
              <w:t>Center Manager</w:t>
            </w:r>
          </w:p>
        </w:tc>
        <w:tc>
          <w:tcPr>
            <w:tcW w:w="0" w:type="auto"/>
          </w:tcPr>
          <w:p w:rsidR="00121761" w:rsidRPr="00121761" w:rsidRDefault="00121761" w:rsidP="00121761">
            <w:pPr>
              <w:spacing w:after="0"/>
              <w:jc w:val="right"/>
              <w:rPr>
                <w:rFonts w:cs="Calibri"/>
                <w:sz w:val="24"/>
                <w:szCs w:val="24"/>
              </w:rPr>
            </w:pPr>
            <w:r w:rsidRPr="00121761">
              <w:rPr>
                <w:rFonts w:cs="Calibri"/>
                <w:sz w:val="24"/>
                <w:szCs w:val="24"/>
              </w:rPr>
              <w:t>GS 11/1</w:t>
            </w:r>
          </w:p>
        </w:tc>
        <w:tc>
          <w:tcPr>
            <w:tcW w:w="0" w:type="auto"/>
          </w:tcPr>
          <w:p w:rsidR="00121761" w:rsidRPr="00121761" w:rsidRDefault="00121761" w:rsidP="00121761">
            <w:pPr>
              <w:spacing w:after="0"/>
              <w:jc w:val="center"/>
              <w:rPr>
                <w:rFonts w:cs="Calibri"/>
                <w:sz w:val="24"/>
                <w:szCs w:val="24"/>
              </w:rPr>
            </w:pPr>
            <w:r w:rsidRPr="00121761">
              <w:rPr>
                <w:rFonts w:cs="Calibri"/>
                <w:sz w:val="24"/>
                <w:szCs w:val="24"/>
              </w:rPr>
              <w:t>$94,000</w:t>
            </w:r>
          </w:p>
        </w:tc>
      </w:tr>
      <w:tr w:rsidR="00121761" w:rsidTr="00121761">
        <w:trPr>
          <w:jc w:val="center"/>
        </w:trPr>
        <w:tc>
          <w:tcPr>
            <w:tcW w:w="0" w:type="auto"/>
          </w:tcPr>
          <w:p w:rsidR="00121761" w:rsidRPr="00121761" w:rsidRDefault="00121761" w:rsidP="00121761">
            <w:pPr>
              <w:spacing w:after="0"/>
              <w:jc w:val="center"/>
              <w:rPr>
                <w:rFonts w:cs="Calibri"/>
                <w:sz w:val="24"/>
                <w:szCs w:val="24"/>
              </w:rPr>
            </w:pPr>
            <w:r w:rsidRPr="00121761">
              <w:rPr>
                <w:rFonts w:cs="Calibri"/>
                <w:sz w:val="24"/>
                <w:szCs w:val="24"/>
              </w:rPr>
              <w:t>Asst. Center Manager</w:t>
            </w:r>
          </w:p>
        </w:tc>
        <w:tc>
          <w:tcPr>
            <w:tcW w:w="0" w:type="auto"/>
          </w:tcPr>
          <w:p w:rsidR="00121761" w:rsidRPr="00121761" w:rsidRDefault="00121761" w:rsidP="00121761">
            <w:pPr>
              <w:spacing w:after="0"/>
              <w:jc w:val="center"/>
              <w:rPr>
                <w:rFonts w:cs="Calibri"/>
                <w:sz w:val="24"/>
                <w:szCs w:val="24"/>
              </w:rPr>
            </w:pPr>
            <w:r w:rsidRPr="00121761">
              <w:rPr>
                <w:rFonts w:cs="Calibri"/>
                <w:sz w:val="24"/>
                <w:szCs w:val="24"/>
              </w:rPr>
              <w:t>GS 9/1</w:t>
            </w:r>
          </w:p>
        </w:tc>
        <w:tc>
          <w:tcPr>
            <w:tcW w:w="0" w:type="auto"/>
          </w:tcPr>
          <w:p w:rsidR="00121761" w:rsidRPr="00121761" w:rsidRDefault="00121761" w:rsidP="00AE05FD">
            <w:pPr>
              <w:spacing w:after="0"/>
              <w:jc w:val="center"/>
              <w:rPr>
                <w:rFonts w:cs="Calibri"/>
                <w:sz w:val="24"/>
                <w:szCs w:val="24"/>
              </w:rPr>
            </w:pPr>
            <w:r w:rsidRPr="00121761">
              <w:rPr>
                <w:rFonts w:cs="Calibri"/>
                <w:sz w:val="24"/>
                <w:szCs w:val="24"/>
              </w:rPr>
              <w:t>$76,000</w:t>
            </w:r>
          </w:p>
        </w:tc>
      </w:tr>
      <w:tr w:rsidR="00121761" w:rsidTr="00121761">
        <w:trPr>
          <w:jc w:val="center"/>
        </w:trPr>
        <w:tc>
          <w:tcPr>
            <w:tcW w:w="0" w:type="auto"/>
          </w:tcPr>
          <w:p w:rsidR="00121761" w:rsidRPr="00121761" w:rsidRDefault="00121761" w:rsidP="00121761">
            <w:pPr>
              <w:spacing w:after="0"/>
              <w:jc w:val="center"/>
              <w:rPr>
                <w:rFonts w:cs="Calibri"/>
                <w:sz w:val="24"/>
                <w:szCs w:val="24"/>
              </w:rPr>
            </w:pPr>
            <w:r w:rsidRPr="00121761">
              <w:rPr>
                <w:rFonts w:cs="Calibri"/>
                <w:sz w:val="24"/>
                <w:szCs w:val="24"/>
              </w:rPr>
              <w:t>IA/Aircraft Dispatcher</w:t>
            </w:r>
          </w:p>
        </w:tc>
        <w:tc>
          <w:tcPr>
            <w:tcW w:w="0" w:type="auto"/>
          </w:tcPr>
          <w:p w:rsidR="00121761" w:rsidRPr="00121761" w:rsidRDefault="00121761" w:rsidP="00121761">
            <w:pPr>
              <w:spacing w:after="0"/>
              <w:jc w:val="center"/>
              <w:rPr>
                <w:rFonts w:cs="Calibri"/>
                <w:sz w:val="24"/>
                <w:szCs w:val="24"/>
              </w:rPr>
            </w:pPr>
            <w:r w:rsidRPr="00121761">
              <w:rPr>
                <w:rFonts w:cs="Calibri"/>
                <w:sz w:val="24"/>
                <w:szCs w:val="24"/>
              </w:rPr>
              <w:t>GS 7/1</w:t>
            </w:r>
          </w:p>
        </w:tc>
        <w:tc>
          <w:tcPr>
            <w:tcW w:w="0" w:type="auto"/>
          </w:tcPr>
          <w:p w:rsidR="00121761" w:rsidRPr="00121761" w:rsidRDefault="00121761" w:rsidP="00AE05FD">
            <w:pPr>
              <w:spacing w:after="0"/>
              <w:jc w:val="center"/>
              <w:rPr>
                <w:rFonts w:cs="Calibri"/>
                <w:sz w:val="24"/>
                <w:szCs w:val="24"/>
              </w:rPr>
            </w:pPr>
            <w:r w:rsidRPr="00121761">
              <w:rPr>
                <w:rFonts w:cs="Calibri"/>
                <w:sz w:val="24"/>
                <w:szCs w:val="24"/>
              </w:rPr>
              <w:t>$58,000</w:t>
            </w:r>
          </w:p>
        </w:tc>
      </w:tr>
      <w:tr w:rsidR="00121761" w:rsidTr="00121761">
        <w:trPr>
          <w:jc w:val="center"/>
        </w:trPr>
        <w:tc>
          <w:tcPr>
            <w:tcW w:w="0" w:type="auto"/>
          </w:tcPr>
          <w:p w:rsidR="00121761" w:rsidRPr="00121761" w:rsidRDefault="00121761" w:rsidP="00121761">
            <w:pPr>
              <w:spacing w:after="0"/>
              <w:jc w:val="center"/>
              <w:rPr>
                <w:rFonts w:cs="Calibri"/>
                <w:sz w:val="24"/>
                <w:szCs w:val="24"/>
              </w:rPr>
            </w:pPr>
            <w:r w:rsidRPr="00121761">
              <w:rPr>
                <w:rFonts w:cs="Calibri"/>
                <w:sz w:val="24"/>
                <w:szCs w:val="24"/>
              </w:rPr>
              <w:t>Logistics Dispatcher</w:t>
            </w:r>
          </w:p>
        </w:tc>
        <w:tc>
          <w:tcPr>
            <w:tcW w:w="0" w:type="auto"/>
          </w:tcPr>
          <w:p w:rsidR="00121761" w:rsidRPr="00121761" w:rsidRDefault="00121761" w:rsidP="00121761">
            <w:pPr>
              <w:spacing w:after="0"/>
              <w:jc w:val="center"/>
              <w:rPr>
                <w:rFonts w:cs="Calibri"/>
                <w:sz w:val="24"/>
                <w:szCs w:val="24"/>
              </w:rPr>
            </w:pPr>
            <w:r w:rsidRPr="00121761">
              <w:rPr>
                <w:rFonts w:cs="Calibri"/>
                <w:sz w:val="24"/>
                <w:szCs w:val="24"/>
              </w:rPr>
              <w:t>GS 7/1</w:t>
            </w:r>
          </w:p>
        </w:tc>
        <w:tc>
          <w:tcPr>
            <w:tcW w:w="0" w:type="auto"/>
          </w:tcPr>
          <w:p w:rsidR="00121761" w:rsidRPr="00121761" w:rsidRDefault="00121761" w:rsidP="00AE05FD">
            <w:pPr>
              <w:spacing w:after="0"/>
              <w:jc w:val="center"/>
              <w:rPr>
                <w:rFonts w:cs="Calibri"/>
                <w:sz w:val="24"/>
                <w:szCs w:val="24"/>
              </w:rPr>
            </w:pPr>
            <w:r w:rsidRPr="00121761">
              <w:rPr>
                <w:rFonts w:cs="Calibri"/>
                <w:sz w:val="24"/>
                <w:szCs w:val="24"/>
              </w:rPr>
              <w:t>$28,000</w:t>
            </w:r>
          </w:p>
        </w:tc>
      </w:tr>
      <w:tr w:rsidR="00121761" w:rsidTr="00121761">
        <w:trPr>
          <w:jc w:val="center"/>
        </w:trPr>
        <w:tc>
          <w:tcPr>
            <w:tcW w:w="0" w:type="auto"/>
          </w:tcPr>
          <w:p w:rsidR="00121761" w:rsidRPr="00121761" w:rsidRDefault="00121761" w:rsidP="00121761">
            <w:pPr>
              <w:spacing w:after="0"/>
              <w:jc w:val="center"/>
              <w:rPr>
                <w:rFonts w:cs="Calibri"/>
                <w:sz w:val="24"/>
                <w:szCs w:val="24"/>
              </w:rPr>
            </w:pPr>
            <w:r w:rsidRPr="00121761">
              <w:rPr>
                <w:rFonts w:cs="Calibri"/>
                <w:sz w:val="24"/>
                <w:szCs w:val="24"/>
              </w:rPr>
              <w:t>Seasonal Dispatcher</w:t>
            </w:r>
          </w:p>
        </w:tc>
        <w:tc>
          <w:tcPr>
            <w:tcW w:w="0" w:type="auto"/>
          </w:tcPr>
          <w:p w:rsidR="00121761" w:rsidRPr="00121761" w:rsidRDefault="00121761" w:rsidP="00121761">
            <w:pPr>
              <w:spacing w:after="0"/>
              <w:jc w:val="center"/>
              <w:rPr>
                <w:rFonts w:cs="Calibri"/>
                <w:sz w:val="24"/>
                <w:szCs w:val="24"/>
              </w:rPr>
            </w:pPr>
            <w:r w:rsidRPr="00121761">
              <w:rPr>
                <w:rFonts w:cs="Calibri"/>
                <w:sz w:val="24"/>
                <w:szCs w:val="24"/>
              </w:rPr>
              <w:t>GS 5/1</w:t>
            </w:r>
          </w:p>
        </w:tc>
        <w:tc>
          <w:tcPr>
            <w:tcW w:w="0" w:type="auto"/>
          </w:tcPr>
          <w:p w:rsidR="00121761" w:rsidRPr="00121761" w:rsidRDefault="00121761" w:rsidP="00AE05FD">
            <w:pPr>
              <w:spacing w:after="0"/>
              <w:jc w:val="center"/>
              <w:rPr>
                <w:rFonts w:cs="Calibri"/>
                <w:sz w:val="24"/>
                <w:szCs w:val="24"/>
              </w:rPr>
            </w:pPr>
            <w:r w:rsidRPr="00121761">
              <w:rPr>
                <w:rFonts w:cs="Calibri"/>
                <w:sz w:val="24"/>
                <w:szCs w:val="24"/>
              </w:rPr>
              <w:t>$15,000</w:t>
            </w:r>
          </w:p>
        </w:tc>
      </w:tr>
      <w:tr w:rsidR="00121761" w:rsidTr="00121761">
        <w:trPr>
          <w:jc w:val="center"/>
        </w:trPr>
        <w:tc>
          <w:tcPr>
            <w:tcW w:w="0" w:type="auto"/>
          </w:tcPr>
          <w:p w:rsidR="00121761" w:rsidRPr="00121761" w:rsidRDefault="00121761" w:rsidP="00121761">
            <w:pPr>
              <w:spacing w:after="0"/>
              <w:jc w:val="center"/>
              <w:rPr>
                <w:rFonts w:cs="Calibri"/>
                <w:sz w:val="24"/>
                <w:szCs w:val="24"/>
              </w:rPr>
            </w:pPr>
            <w:r w:rsidRPr="00121761">
              <w:rPr>
                <w:rFonts w:cs="Calibri"/>
                <w:sz w:val="24"/>
                <w:szCs w:val="24"/>
              </w:rPr>
              <w:t>Seasonal Dispatcher</w:t>
            </w:r>
          </w:p>
        </w:tc>
        <w:tc>
          <w:tcPr>
            <w:tcW w:w="0" w:type="auto"/>
          </w:tcPr>
          <w:p w:rsidR="00121761" w:rsidRPr="00121761" w:rsidRDefault="00121761" w:rsidP="00121761">
            <w:pPr>
              <w:spacing w:after="0"/>
              <w:jc w:val="center"/>
              <w:rPr>
                <w:rFonts w:cs="Calibri"/>
                <w:sz w:val="24"/>
                <w:szCs w:val="24"/>
              </w:rPr>
            </w:pPr>
            <w:r w:rsidRPr="00121761">
              <w:rPr>
                <w:rFonts w:cs="Calibri"/>
                <w:sz w:val="24"/>
                <w:szCs w:val="24"/>
              </w:rPr>
              <w:t>GS 5/1</w:t>
            </w:r>
          </w:p>
        </w:tc>
        <w:tc>
          <w:tcPr>
            <w:tcW w:w="0" w:type="auto"/>
          </w:tcPr>
          <w:p w:rsidR="00121761" w:rsidRPr="00121761" w:rsidRDefault="00121761" w:rsidP="00AE05FD">
            <w:pPr>
              <w:spacing w:after="0"/>
              <w:jc w:val="center"/>
              <w:rPr>
                <w:rFonts w:cs="Calibri"/>
                <w:sz w:val="24"/>
                <w:szCs w:val="24"/>
              </w:rPr>
            </w:pPr>
            <w:r w:rsidRPr="00121761">
              <w:rPr>
                <w:rFonts w:cs="Calibri"/>
                <w:sz w:val="24"/>
                <w:szCs w:val="24"/>
              </w:rPr>
              <w:t>$15,000</w:t>
            </w:r>
          </w:p>
        </w:tc>
      </w:tr>
      <w:tr w:rsidR="00121761" w:rsidTr="00121761">
        <w:trPr>
          <w:jc w:val="center"/>
        </w:trPr>
        <w:tc>
          <w:tcPr>
            <w:tcW w:w="0" w:type="auto"/>
          </w:tcPr>
          <w:p w:rsidR="00121761" w:rsidRPr="00121761" w:rsidRDefault="00121761" w:rsidP="00121761">
            <w:pPr>
              <w:spacing w:after="0"/>
              <w:jc w:val="center"/>
              <w:rPr>
                <w:rFonts w:cs="Calibri"/>
                <w:sz w:val="24"/>
                <w:szCs w:val="24"/>
              </w:rPr>
            </w:pPr>
          </w:p>
        </w:tc>
        <w:tc>
          <w:tcPr>
            <w:tcW w:w="0" w:type="auto"/>
          </w:tcPr>
          <w:p w:rsidR="00121761" w:rsidRPr="00121761" w:rsidRDefault="00121761" w:rsidP="00121761">
            <w:pPr>
              <w:spacing w:after="0"/>
              <w:jc w:val="center"/>
              <w:rPr>
                <w:rFonts w:cs="Calibri"/>
                <w:sz w:val="24"/>
                <w:szCs w:val="24"/>
              </w:rPr>
            </w:pPr>
          </w:p>
        </w:tc>
        <w:tc>
          <w:tcPr>
            <w:tcW w:w="0" w:type="auto"/>
          </w:tcPr>
          <w:p w:rsidR="00121761" w:rsidRPr="00121761" w:rsidRDefault="00121761" w:rsidP="00AE05FD">
            <w:pPr>
              <w:spacing w:after="0"/>
              <w:jc w:val="center"/>
              <w:rPr>
                <w:rFonts w:cs="Calibri"/>
                <w:sz w:val="24"/>
                <w:szCs w:val="24"/>
              </w:rPr>
            </w:pPr>
            <w:r w:rsidRPr="00121761">
              <w:rPr>
                <w:rFonts w:cs="Calibri"/>
                <w:sz w:val="24"/>
                <w:szCs w:val="24"/>
              </w:rPr>
              <w:fldChar w:fldCharType="begin"/>
            </w:r>
            <w:r w:rsidRPr="00121761">
              <w:rPr>
                <w:rFonts w:cs="Calibri"/>
                <w:sz w:val="24"/>
                <w:szCs w:val="24"/>
              </w:rPr>
              <w:instrText xml:space="preserve"> =SUM(ABOVE) </w:instrText>
            </w:r>
            <w:r w:rsidRPr="00121761">
              <w:rPr>
                <w:rFonts w:cs="Calibri"/>
                <w:sz w:val="24"/>
                <w:szCs w:val="24"/>
              </w:rPr>
              <w:fldChar w:fldCharType="separate"/>
            </w:r>
            <w:r w:rsidRPr="00121761">
              <w:rPr>
                <w:rFonts w:cs="Calibri"/>
                <w:noProof/>
                <w:sz w:val="24"/>
                <w:szCs w:val="24"/>
              </w:rPr>
              <w:t>$286,000.00</w:t>
            </w:r>
            <w:r w:rsidRPr="00121761">
              <w:rPr>
                <w:rFonts w:cs="Calibri"/>
                <w:sz w:val="24"/>
                <w:szCs w:val="24"/>
              </w:rPr>
              <w:fldChar w:fldCharType="end"/>
            </w:r>
          </w:p>
        </w:tc>
      </w:tr>
    </w:tbl>
    <w:p w:rsidR="00BD0743" w:rsidRDefault="00BD0743" w:rsidP="00BD0743">
      <w:pPr>
        <w:spacing w:after="0"/>
        <w:rPr>
          <w:rFonts w:cs="Calibri"/>
          <w:sz w:val="24"/>
          <w:szCs w:val="28"/>
        </w:rPr>
      </w:pPr>
    </w:p>
    <w:p w:rsidR="00BD0743" w:rsidRDefault="00BD0743" w:rsidP="00BD0743">
      <w:pPr>
        <w:spacing w:after="0"/>
        <w:rPr>
          <w:rFonts w:cs="Calibri"/>
          <w:sz w:val="24"/>
          <w:szCs w:val="28"/>
        </w:rPr>
      </w:pPr>
      <w:r>
        <w:rPr>
          <w:rFonts w:cs="Calibri"/>
          <w:sz w:val="24"/>
          <w:szCs w:val="28"/>
        </w:rPr>
        <w:t xml:space="preserve">Supporting funds for 2014 included $3,000 was contributed by Wyoming State Forestry, $2,000 from the Department of Fish and Game and $500 from Carbon County to support.  Due to reduced budgets and funding cuts, RWC actively solicits funds from the agencies it continues to support. </w:t>
      </w:r>
    </w:p>
    <w:p w:rsidR="0017592F" w:rsidRDefault="0017592F" w:rsidP="006D596D">
      <w:pPr>
        <w:spacing w:after="0"/>
        <w:rPr>
          <w:rFonts w:cs="Calibri"/>
          <w:sz w:val="24"/>
          <w:szCs w:val="28"/>
        </w:rPr>
      </w:pPr>
    </w:p>
    <w:p w:rsidR="00E816F8" w:rsidRPr="00410BFC" w:rsidRDefault="00E816F8" w:rsidP="00E816F8">
      <w:pPr>
        <w:spacing w:after="0"/>
        <w:jc w:val="center"/>
        <w:rPr>
          <w:rFonts w:cs="Calibri"/>
          <w:sz w:val="28"/>
          <w:szCs w:val="28"/>
        </w:rPr>
      </w:pPr>
      <w:r w:rsidRPr="00410BFC">
        <w:rPr>
          <w:rFonts w:cs="Calibri"/>
          <w:b/>
          <w:sz w:val="28"/>
          <w:szCs w:val="28"/>
        </w:rPr>
        <w:t>Overview of the 201</w:t>
      </w:r>
      <w:r>
        <w:rPr>
          <w:rFonts w:cs="Calibri"/>
          <w:b/>
          <w:sz w:val="28"/>
          <w:szCs w:val="28"/>
        </w:rPr>
        <w:t>4</w:t>
      </w:r>
      <w:r w:rsidRPr="00410BFC">
        <w:rPr>
          <w:rFonts w:cs="Calibri"/>
          <w:b/>
          <w:sz w:val="28"/>
          <w:szCs w:val="28"/>
        </w:rPr>
        <w:t xml:space="preserve"> </w:t>
      </w:r>
      <w:r>
        <w:rPr>
          <w:rFonts w:cs="Calibri"/>
          <w:b/>
          <w:sz w:val="28"/>
          <w:szCs w:val="28"/>
        </w:rPr>
        <w:t>Year</w:t>
      </w:r>
    </w:p>
    <w:p w:rsidR="0017592F" w:rsidRDefault="0017592F" w:rsidP="006D596D">
      <w:pPr>
        <w:spacing w:after="0"/>
        <w:rPr>
          <w:rFonts w:cs="Calibri"/>
          <w:sz w:val="24"/>
          <w:szCs w:val="28"/>
        </w:rPr>
      </w:pPr>
    </w:p>
    <w:p w:rsidR="00E31733" w:rsidRDefault="00AE05FD" w:rsidP="001142AB">
      <w:pPr>
        <w:spacing w:after="0"/>
        <w:rPr>
          <w:rFonts w:cs="Calibri"/>
          <w:sz w:val="24"/>
          <w:szCs w:val="28"/>
        </w:rPr>
      </w:pPr>
      <w:r>
        <w:rPr>
          <w:rFonts w:cs="Calibri"/>
          <w:sz w:val="24"/>
          <w:szCs w:val="28"/>
        </w:rPr>
        <w:t>In 201</w:t>
      </w:r>
      <w:r w:rsidR="0097054A">
        <w:rPr>
          <w:rFonts w:cs="Calibri"/>
          <w:sz w:val="24"/>
          <w:szCs w:val="28"/>
        </w:rPr>
        <w:t>4</w:t>
      </w:r>
      <w:r>
        <w:rPr>
          <w:rFonts w:cs="Calibri"/>
          <w:sz w:val="24"/>
          <w:szCs w:val="28"/>
        </w:rPr>
        <w:t>, the Center M</w:t>
      </w:r>
      <w:r w:rsidR="00411AEB">
        <w:rPr>
          <w:rFonts w:cs="Calibri"/>
          <w:sz w:val="24"/>
          <w:szCs w:val="28"/>
        </w:rPr>
        <w:t xml:space="preserve">anager position </w:t>
      </w:r>
      <w:r w:rsidR="0097054A">
        <w:rPr>
          <w:rFonts w:cs="Calibri"/>
          <w:sz w:val="24"/>
          <w:szCs w:val="28"/>
        </w:rPr>
        <w:t>was filled with Scott Russell in January.  The Assistant Center Manager was filled with Gary Batchelder in April</w:t>
      </w:r>
      <w:r w:rsidR="00B110D5">
        <w:rPr>
          <w:rFonts w:cs="Calibri"/>
          <w:sz w:val="24"/>
          <w:szCs w:val="28"/>
        </w:rPr>
        <w:t xml:space="preserve"> and Ashley Hutton Powell accepted and filled the PFT IA/Aircraft Dispatcher in May.</w:t>
      </w:r>
      <w:r>
        <w:rPr>
          <w:rFonts w:cs="Calibri"/>
          <w:sz w:val="24"/>
          <w:szCs w:val="28"/>
        </w:rPr>
        <w:t xml:space="preserve"> </w:t>
      </w:r>
      <w:r w:rsidR="006D596D">
        <w:rPr>
          <w:rFonts w:cs="Calibri"/>
          <w:sz w:val="24"/>
          <w:szCs w:val="28"/>
        </w:rPr>
        <w:t xml:space="preserve"> </w:t>
      </w:r>
      <w:r w:rsidR="0097054A">
        <w:rPr>
          <w:rFonts w:cs="Calibri"/>
          <w:sz w:val="24"/>
          <w:szCs w:val="28"/>
        </w:rPr>
        <w:t xml:space="preserve">During the fire season 2 IA dispatchers were filled </w:t>
      </w:r>
      <w:r w:rsidR="00D50CDD">
        <w:rPr>
          <w:rFonts w:cs="Calibri"/>
          <w:sz w:val="24"/>
          <w:szCs w:val="28"/>
        </w:rPr>
        <w:t xml:space="preserve">in May </w:t>
      </w:r>
      <w:r w:rsidR="0097054A">
        <w:rPr>
          <w:rFonts w:cs="Calibri"/>
          <w:sz w:val="24"/>
          <w:szCs w:val="28"/>
        </w:rPr>
        <w:t xml:space="preserve">with Kevin Quinn and Alyssa Hammond.  </w:t>
      </w:r>
      <w:r w:rsidR="00D50CDD">
        <w:rPr>
          <w:rFonts w:cs="Calibri"/>
          <w:sz w:val="24"/>
          <w:szCs w:val="28"/>
        </w:rPr>
        <w:t xml:space="preserve">Their season lasted until 10/3.  </w:t>
      </w:r>
      <w:r w:rsidR="0097054A">
        <w:rPr>
          <w:rFonts w:cs="Calibri"/>
          <w:sz w:val="24"/>
          <w:szCs w:val="28"/>
        </w:rPr>
        <w:t xml:space="preserve">The </w:t>
      </w:r>
      <w:r w:rsidR="00E816F8">
        <w:rPr>
          <w:rFonts w:cs="Calibri"/>
          <w:sz w:val="24"/>
          <w:szCs w:val="28"/>
        </w:rPr>
        <w:t xml:space="preserve">logistics dispatcher was not filled, </w:t>
      </w:r>
      <w:r w:rsidR="00E31733">
        <w:rPr>
          <w:rFonts w:cs="Calibri"/>
          <w:sz w:val="24"/>
          <w:szCs w:val="28"/>
        </w:rPr>
        <w:t xml:space="preserve">but will be </w:t>
      </w:r>
      <w:r w:rsidR="00D50CDD">
        <w:rPr>
          <w:rFonts w:cs="Calibri"/>
          <w:sz w:val="24"/>
          <w:szCs w:val="28"/>
        </w:rPr>
        <w:t>advertised</w:t>
      </w:r>
      <w:r w:rsidR="00E31733">
        <w:rPr>
          <w:rFonts w:cs="Calibri"/>
          <w:sz w:val="24"/>
          <w:szCs w:val="28"/>
        </w:rPr>
        <w:t xml:space="preserve"> in the spring of 2015. </w:t>
      </w:r>
      <w:r w:rsidR="00D50CDD">
        <w:rPr>
          <w:rFonts w:cs="Calibri"/>
          <w:sz w:val="24"/>
          <w:szCs w:val="28"/>
        </w:rPr>
        <w:t xml:space="preserve"> </w:t>
      </w:r>
      <w:r w:rsidR="00B110D5">
        <w:rPr>
          <w:rFonts w:cs="Calibri"/>
          <w:sz w:val="24"/>
          <w:szCs w:val="28"/>
        </w:rPr>
        <w:t>Staffing for the winter of 2013/14 included, Center Manager Scott Russell and firefighter Andy Williams.  Andy was brought in to provide dispatch coverage while Scott attended required training and meetings</w:t>
      </w:r>
      <w:r w:rsidR="00D50CDD">
        <w:rPr>
          <w:rFonts w:cs="Calibri"/>
          <w:sz w:val="24"/>
          <w:szCs w:val="28"/>
        </w:rPr>
        <w:t xml:space="preserve">.  The staff was new either to their positions or new to fire dispatching, there was a learning curve for everyone but the season was very successful.  </w:t>
      </w:r>
    </w:p>
    <w:p w:rsidR="00E31733" w:rsidRDefault="00E31733" w:rsidP="001142AB">
      <w:pPr>
        <w:spacing w:after="0"/>
        <w:rPr>
          <w:rFonts w:cs="Calibri"/>
          <w:sz w:val="24"/>
          <w:szCs w:val="28"/>
        </w:rPr>
      </w:pPr>
    </w:p>
    <w:p w:rsidR="0082634D" w:rsidRDefault="0082634D" w:rsidP="00EA19C3">
      <w:pPr>
        <w:jc w:val="center"/>
        <w:rPr>
          <w:rFonts w:cs="Calibri"/>
          <w:b/>
          <w:sz w:val="32"/>
          <w:szCs w:val="28"/>
        </w:rPr>
      </w:pPr>
    </w:p>
    <w:p w:rsidR="0082634D" w:rsidRDefault="0082634D" w:rsidP="00EA19C3">
      <w:pPr>
        <w:jc w:val="center"/>
        <w:rPr>
          <w:rFonts w:cs="Calibri"/>
          <w:b/>
          <w:sz w:val="32"/>
          <w:szCs w:val="28"/>
        </w:rPr>
      </w:pPr>
    </w:p>
    <w:p w:rsidR="0082634D" w:rsidRDefault="0082634D" w:rsidP="00EA19C3">
      <w:pPr>
        <w:jc w:val="center"/>
        <w:rPr>
          <w:rFonts w:cs="Calibri"/>
          <w:b/>
          <w:sz w:val="32"/>
          <w:szCs w:val="28"/>
        </w:rPr>
      </w:pPr>
    </w:p>
    <w:p w:rsidR="0082634D" w:rsidRDefault="0082634D" w:rsidP="00EA19C3">
      <w:pPr>
        <w:jc w:val="center"/>
        <w:rPr>
          <w:rFonts w:cs="Calibri"/>
          <w:b/>
          <w:sz w:val="32"/>
          <w:szCs w:val="28"/>
        </w:rPr>
      </w:pPr>
    </w:p>
    <w:p w:rsidR="0082634D" w:rsidRDefault="0082634D" w:rsidP="00EA19C3">
      <w:pPr>
        <w:jc w:val="center"/>
        <w:rPr>
          <w:rFonts w:cs="Calibri"/>
          <w:b/>
          <w:sz w:val="32"/>
          <w:szCs w:val="28"/>
        </w:rPr>
      </w:pPr>
    </w:p>
    <w:p w:rsidR="0082634D" w:rsidRDefault="0082634D" w:rsidP="00EA19C3">
      <w:pPr>
        <w:jc w:val="center"/>
        <w:rPr>
          <w:rFonts w:cs="Calibri"/>
          <w:b/>
          <w:sz w:val="32"/>
          <w:szCs w:val="28"/>
        </w:rPr>
      </w:pPr>
    </w:p>
    <w:p w:rsidR="00EA19C3" w:rsidRPr="00743DF6" w:rsidRDefault="00727F88" w:rsidP="00EA19C3">
      <w:pPr>
        <w:jc w:val="center"/>
        <w:rPr>
          <w:rFonts w:cs="Calibri"/>
          <w:b/>
          <w:sz w:val="32"/>
          <w:szCs w:val="28"/>
        </w:rPr>
      </w:pPr>
      <w:r>
        <w:rPr>
          <w:rFonts w:cs="Calibri"/>
          <w:b/>
          <w:sz w:val="32"/>
          <w:szCs w:val="28"/>
        </w:rPr>
        <w:t>Center</w:t>
      </w:r>
      <w:r w:rsidR="00EA19C3" w:rsidRPr="00743DF6">
        <w:rPr>
          <w:rFonts w:cs="Calibri"/>
          <w:b/>
          <w:sz w:val="32"/>
          <w:szCs w:val="28"/>
        </w:rPr>
        <w:t xml:space="preserve"> Activity</w:t>
      </w:r>
    </w:p>
    <w:p w:rsidR="00DD2DBB" w:rsidRDefault="00727F88" w:rsidP="00DD2DBB">
      <w:pPr>
        <w:rPr>
          <w:rFonts w:cs="Calibri"/>
          <w:sz w:val="24"/>
          <w:szCs w:val="24"/>
        </w:rPr>
      </w:pPr>
      <w:r>
        <w:rPr>
          <w:rFonts w:cs="Calibri"/>
          <w:sz w:val="24"/>
          <w:szCs w:val="24"/>
        </w:rPr>
        <w:t>The number of fires during the 2014 season was below average with 63 total fires for 197ac, this includes fire on BLM and county’s that fall within the HDD response area.</w:t>
      </w:r>
    </w:p>
    <w:p w:rsidR="0012200B" w:rsidRDefault="00B937CA" w:rsidP="00693DC5">
      <w:pPr>
        <w:jc w:val="center"/>
        <w:rPr>
          <w:rFonts w:cs="Calibri"/>
          <w:sz w:val="24"/>
          <w:szCs w:val="24"/>
        </w:rPr>
      </w:pPr>
      <w:r>
        <w:rPr>
          <w:noProof/>
        </w:rPr>
        <w:drawing>
          <wp:inline distT="0" distB="0" distL="0" distR="0" wp14:anchorId="0C3A4204" wp14:editId="44295A19">
            <wp:extent cx="5534026"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72A8" w:rsidRDefault="009772A8" w:rsidP="00EA19C3">
      <w:pPr>
        <w:rPr>
          <w:rFonts w:cs="Calibri"/>
          <w:sz w:val="24"/>
          <w:szCs w:val="24"/>
        </w:rPr>
      </w:pPr>
    </w:p>
    <w:p w:rsidR="003A2DFF" w:rsidRDefault="003A2DFF" w:rsidP="00EA19C3">
      <w:pPr>
        <w:rPr>
          <w:rFonts w:cs="Calibri"/>
          <w:sz w:val="24"/>
          <w:szCs w:val="24"/>
        </w:rPr>
      </w:pPr>
    </w:p>
    <w:p w:rsidR="003A2DFF" w:rsidRDefault="00B937CA" w:rsidP="00EA19C3">
      <w:pPr>
        <w:rPr>
          <w:rFonts w:cs="Calibri"/>
          <w:sz w:val="24"/>
          <w:szCs w:val="24"/>
        </w:rPr>
      </w:pPr>
      <w:r>
        <w:rPr>
          <w:noProof/>
        </w:rPr>
        <w:drawing>
          <wp:inline distT="0" distB="0" distL="0" distR="0" wp14:anchorId="7FC23FBC" wp14:editId="4F8C48B2">
            <wp:extent cx="5838826" cy="2833687"/>
            <wp:effectExtent l="0" t="0" r="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2DFF" w:rsidRDefault="003A2DFF" w:rsidP="00EA19C3">
      <w:pPr>
        <w:rPr>
          <w:rFonts w:cs="Calibri"/>
          <w:sz w:val="24"/>
          <w:szCs w:val="24"/>
        </w:rPr>
      </w:pPr>
    </w:p>
    <w:p w:rsidR="003A2DFF" w:rsidRDefault="003A2DFF" w:rsidP="00EA19C3">
      <w:pPr>
        <w:rPr>
          <w:rFonts w:cs="Calibri"/>
          <w:sz w:val="24"/>
          <w:szCs w:val="24"/>
        </w:rPr>
      </w:pPr>
    </w:p>
    <w:p w:rsidR="003A2DFF" w:rsidRDefault="00B937CA" w:rsidP="003A2DFF">
      <w:pPr>
        <w:jc w:val="center"/>
        <w:rPr>
          <w:rFonts w:cs="Calibri"/>
          <w:sz w:val="24"/>
          <w:szCs w:val="24"/>
        </w:rPr>
      </w:pPr>
      <w:r>
        <w:rPr>
          <w:noProof/>
        </w:rPr>
        <w:drawing>
          <wp:inline distT="0" distB="0" distL="0" distR="0" wp14:anchorId="60AACE9B" wp14:editId="13C4F876">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37CA" w:rsidRDefault="00B937CA" w:rsidP="003A2DFF">
      <w:pPr>
        <w:jc w:val="center"/>
        <w:rPr>
          <w:rFonts w:cs="Calibri"/>
          <w:sz w:val="24"/>
          <w:szCs w:val="24"/>
        </w:rPr>
      </w:pPr>
      <w:r>
        <w:rPr>
          <w:noProof/>
        </w:rPr>
        <w:drawing>
          <wp:inline distT="0" distB="0" distL="0" distR="0" wp14:anchorId="319454DE" wp14:editId="6F1643D9">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2DFF" w:rsidRDefault="00B937CA" w:rsidP="003A2DFF">
      <w:pPr>
        <w:jc w:val="center"/>
        <w:rPr>
          <w:rFonts w:cs="Calibri"/>
          <w:sz w:val="24"/>
          <w:szCs w:val="24"/>
        </w:rPr>
      </w:pPr>
      <w:r>
        <w:rPr>
          <w:noProof/>
        </w:rPr>
        <w:lastRenderedPageBreak/>
        <w:drawing>
          <wp:inline distT="0" distB="0" distL="0" distR="0" wp14:anchorId="17C67B80" wp14:editId="2BEF002E">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032B" w:rsidRDefault="0044032B" w:rsidP="002251E8">
      <w:pPr>
        <w:jc w:val="center"/>
        <w:rPr>
          <w:rFonts w:cs="Calibri"/>
          <w:sz w:val="24"/>
          <w:szCs w:val="24"/>
        </w:rPr>
      </w:pPr>
    </w:p>
    <w:p w:rsidR="00B627E0" w:rsidRPr="00822B9B" w:rsidRDefault="00265B51" w:rsidP="00EA19C3">
      <w:pPr>
        <w:rPr>
          <w:rFonts w:cs="Calibri"/>
          <w:sz w:val="24"/>
          <w:szCs w:val="24"/>
        </w:rPr>
      </w:pPr>
      <w:r w:rsidRPr="00822B9B">
        <w:rPr>
          <w:rFonts w:cs="Calibri"/>
          <w:sz w:val="24"/>
          <w:szCs w:val="24"/>
        </w:rPr>
        <w:t xml:space="preserve">Notable </w:t>
      </w:r>
      <w:r w:rsidR="004F7C7D" w:rsidRPr="00822B9B">
        <w:rPr>
          <w:rFonts w:cs="Calibri"/>
          <w:sz w:val="24"/>
          <w:szCs w:val="24"/>
        </w:rPr>
        <w:t>incidents:</w:t>
      </w:r>
    </w:p>
    <w:p w:rsidR="004F7C7D" w:rsidRPr="00822B9B" w:rsidRDefault="00822B9B" w:rsidP="00EA19C3">
      <w:pPr>
        <w:rPr>
          <w:rFonts w:cs="Calibri"/>
          <w:sz w:val="24"/>
          <w:szCs w:val="24"/>
        </w:rPr>
      </w:pPr>
      <w:r w:rsidRPr="00822B9B">
        <w:rPr>
          <w:rFonts w:cs="Calibri"/>
          <w:sz w:val="24"/>
          <w:szCs w:val="24"/>
        </w:rPr>
        <w:t>Fire hole</w:t>
      </w:r>
      <w:r w:rsidR="00C13786" w:rsidRPr="00822B9B">
        <w:rPr>
          <w:rFonts w:cs="Calibri"/>
          <w:sz w:val="24"/>
          <w:szCs w:val="24"/>
        </w:rPr>
        <w:t xml:space="preserve"> </w:t>
      </w:r>
      <w:r w:rsidR="00B0188A" w:rsidRPr="00822B9B">
        <w:rPr>
          <w:rFonts w:cs="Calibri"/>
          <w:sz w:val="24"/>
          <w:szCs w:val="24"/>
        </w:rPr>
        <w:t>–</w:t>
      </w:r>
      <w:r w:rsidR="00C13786" w:rsidRPr="00822B9B">
        <w:rPr>
          <w:rFonts w:cs="Calibri"/>
          <w:sz w:val="24"/>
          <w:szCs w:val="24"/>
        </w:rPr>
        <w:t xml:space="preserve"> </w:t>
      </w:r>
      <w:r w:rsidR="00B0188A" w:rsidRPr="00822B9B">
        <w:rPr>
          <w:rFonts w:cs="Calibri"/>
          <w:sz w:val="24"/>
          <w:szCs w:val="24"/>
        </w:rPr>
        <w:t>Started 7/7/14, burned a total of 36.7 acres.  Fire started on private property</w:t>
      </w:r>
      <w:r w:rsidR="003853D8">
        <w:rPr>
          <w:rFonts w:cs="Calibri"/>
          <w:sz w:val="24"/>
          <w:szCs w:val="24"/>
        </w:rPr>
        <w:t xml:space="preserve"> from fireworks,</w:t>
      </w:r>
      <w:r w:rsidR="00B0188A" w:rsidRPr="00822B9B">
        <w:rPr>
          <w:rFonts w:cs="Calibri"/>
          <w:sz w:val="24"/>
          <w:szCs w:val="24"/>
        </w:rPr>
        <w:t xml:space="preserve"> and burned onto BLM land, 33acs on </w:t>
      </w:r>
      <w:proofErr w:type="spellStart"/>
      <w:r w:rsidR="00B0188A" w:rsidRPr="00822B9B">
        <w:rPr>
          <w:rFonts w:cs="Calibri"/>
          <w:sz w:val="24"/>
          <w:szCs w:val="24"/>
        </w:rPr>
        <w:t>pvt</w:t>
      </w:r>
      <w:proofErr w:type="spellEnd"/>
      <w:r w:rsidR="00B0188A" w:rsidRPr="00822B9B">
        <w:rPr>
          <w:rFonts w:cs="Calibri"/>
          <w:sz w:val="24"/>
          <w:szCs w:val="24"/>
        </w:rPr>
        <w:t xml:space="preserve"> and 3.7acs on BLM.  Fuels where brush and grass. </w:t>
      </w:r>
    </w:p>
    <w:p w:rsidR="004F7C7D" w:rsidRPr="00822B9B" w:rsidRDefault="00D7634C" w:rsidP="00EA19C3">
      <w:pPr>
        <w:rPr>
          <w:rFonts w:cs="Calibri"/>
          <w:sz w:val="24"/>
          <w:szCs w:val="24"/>
        </w:rPr>
      </w:pPr>
      <w:r w:rsidRPr="00822B9B">
        <w:rPr>
          <w:rFonts w:cs="Calibri"/>
          <w:sz w:val="24"/>
          <w:szCs w:val="24"/>
        </w:rPr>
        <w:t xml:space="preserve">Pedro </w:t>
      </w:r>
      <w:r w:rsidR="004F7C7D" w:rsidRPr="00822B9B">
        <w:rPr>
          <w:rFonts w:cs="Calibri"/>
          <w:sz w:val="24"/>
          <w:szCs w:val="24"/>
        </w:rPr>
        <w:t>–</w:t>
      </w:r>
      <w:r w:rsidRPr="00822B9B">
        <w:rPr>
          <w:rFonts w:cs="Calibri"/>
          <w:sz w:val="24"/>
          <w:szCs w:val="24"/>
        </w:rPr>
        <w:t xml:space="preserve"> </w:t>
      </w:r>
      <w:r w:rsidR="00B0188A" w:rsidRPr="00822B9B">
        <w:rPr>
          <w:rFonts w:cs="Calibri"/>
          <w:sz w:val="24"/>
          <w:szCs w:val="24"/>
        </w:rPr>
        <w:t>Started 7/12/14, burned a total of 35</w:t>
      </w:r>
      <w:r w:rsidR="00822B9B">
        <w:rPr>
          <w:rFonts w:cs="Calibri"/>
          <w:sz w:val="24"/>
          <w:szCs w:val="24"/>
        </w:rPr>
        <w:t xml:space="preserve"> acres</w:t>
      </w:r>
      <w:r w:rsidR="00B0188A" w:rsidRPr="00822B9B">
        <w:rPr>
          <w:rFonts w:cs="Calibri"/>
          <w:sz w:val="24"/>
          <w:szCs w:val="24"/>
        </w:rPr>
        <w:t xml:space="preserve">.  This </w:t>
      </w:r>
      <w:r w:rsidR="003853D8">
        <w:rPr>
          <w:rFonts w:cs="Calibri"/>
          <w:sz w:val="24"/>
          <w:szCs w:val="24"/>
        </w:rPr>
        <w:t xml:space="preserve">lightning caused </w:t>
      </w:r>
      <w:r w:rsidR="00B0188A" w:rsidRPr="00822B9B">
        <w:rPr>
          <w:rFonts w:cs="Calibri"/>
          <w:sz w:val="24"/>
          <w:szCs w:val="24"/>
        </w:rPr>
        <w:t xml:space="preserve">fire had rapid rates of spread in PJ.  The IC called for a load of jumpers, 1 type 1 crew T1 helicopter </w:t>
      </w:r>
      <w:r w:rsidR="00843DF3" w:rsidRPr="00822B9B">
        <w:rPr>
          <w:rFonts w:cs="Calibri"/>
          <w:sz w:val="24"/>
          <w:szCs w:val="24"/>
        </w:rPr>
        <w:t xml:space="preserve">air attack </w:t>
      </w:r>
      <w:r w:rsidR="00B0188A" w:rsidRPr="00822B9B">
        <w:rPr>
          <w:rFonts w:cs="Calibri"/>
          <w:sz w:val="24"/>
          <w:szCs w:val="24"/>
        </w:rPr>
        <w:t xml:space="preserve">and 2 </w:t>
      </w:r>
      <w:r w:rsidR="00822B9B">
        <w:rPr>
          <w:rFonts w:cs="Calibri"/>
          <w:sz w:val="24"/>
          <w:szCs w:val="24"/>
        </w:rPr>
        <w:t>SEATs</w:t>
      </w:r>
      <w:r w:rsidR="00843DF3" w:rsidRPr="00822B9B">
        <w:rPr>
          <w:rFonts w:cs="Calibri"/>
          <w:sz w:val="24"/>
          <w:szCs w:val="24"/>
        </w:rPr>
        <w:t>.  Fire was contained on the 12</w:t>
      </w:r>
      <w:r w:rsidR="00843DF3" w:rsidRPr="00822B9B">
        <w:rPr>
          <w:rFonts w:cs="Calibri"/>
          <w:sz w:val="24"/>
          <w:szCs w:val="24"/>
          <w:vertAlign w:val="superscript"/>
        </w:rPr>
        <w:t xml:space="preserve">th </w:t>
      </w:r>
      <w:r w:rsidR="00843DF3" w:rsidRPr="00822B9B">
        <w:rPr>
          <w:rFonts w:cs="Calibri"/>
          <w:sz w:val="24"/>
          <w:szCs w:val="24"/>
        </w:rPr>
        <w:t>and controlled on the 14</w:t>
      </w:r>
      <w:r w:rsidR="00843DF3" w:rsidRPr="00822B9B">
        <w:rPr>
          <w:rFonts w:cs="Calibri"/>
          <w:sz w:val="24"/>
          <w:szCs w:val="24"/>
          <w:vertAlign w:val="superscript"/>
        </w:rPr>
        <w:t>th</w:t>
      </w:r>
      <w:r w:rsidR="00843DF3" w:rsidRPr="00822B9B">
        <w:rPr>
          <w:rFonts w:cs="Calibri"/>
          <w:sz w:val="24"/>
          <w:szCs w:val="24"/>
        </w:rPr>
        <w:t>.</w:t>
      </w:r>
    </w:p>
    <w:p w:rsidR="00822B9B" w:rsidRPr="00822B9B" w:rsidRDefault="00822B9B" w:rsidP="00EA19C3">
      <w:pPr>
        <w:rPr>
          <w:rFonts w:cs="Calibri"/>
          <w:sz w:val="24"/>
          <w:szCs w:val="24"/>
        </w:rPr>
      </w:pPr>
      <w:r w:rsidRPr="00822B9B">
        <w:rPr>
          <w:rFonts w:cs="Calibri"/>
          <w:sz w:val="24"/>
          <w:szCs w:val="24"/>
        </w:rPr>
        <w:t>Strip Mine – Started 8/16/14</w:t>
      </w:r>
      <w:r>
        <w:rPr>
          <w:rFonts w:cs="Calibri"/>
          <w:sz w:val="24"/>
          <w:szCs w:val="24"/>
        </w:rPr>
        <w:t xml:space="preserve">, burned a total of 38.7 acres.  IC for this </w:t>
      </w:r>
      <w:r w:rsidR="003853D8">
        <w:rPr>
          <w:rFonts w:cs="Calibri"/>
          <w:sz w:val="24"/>
          <w:szCs w:val="24"/>
        </w:rPr>
        <w:t xml:space="preserve">lightning caused </w:t>
      </w:r>
      <w:r>
        <w:rPr>
          <w:rFonts w:cs="Calibri"/>
          <w:sz w:val="24"/>
          <w:szCs w:val="24"/>
        </w:rPr>
        <w:t xml:space="preserve">fire ordered a couple of SEATs type 3 </w:t>
      </w:r>
      <w:proofErr w:type="gramStart"/>
      <w:r>
        <w:rPr>
          <w:rFonts w:cs="Calibri"/>
          <w:sz w:val="24"/>
          <w:szCs w:val="24"/>
        </w:rPr>
        <w:t>helicopter</w:t>
      </w:r>
      <w:proofErr w:type="gramEnd"/>
      <w:r>
        <w:rPr>
          <w:rFonts w:cs="Calibri"/>
          <w:sz w:val="24"/>
          <w:szCs w:val="24"/>
        </w:rPr>
        <w:t xml:space="preserve"> and a type 2 crew.  Fuels were PJ with 100% of the fire being on private land.</w:t>
      </w:r>
    </w:p>
    <w:p w:rsidR="004F7C7D" w:rsidRPr="00822B9B" w:rsidRDefault="004F7C7D" w:rsidP="00EA19C3">
      <w:pPr>
        <w:rPr>
          <w:rFonts w:cs="Calibri"/>
          <w:sz w:val="24"/>
          <w:szCs w:val="24"/>
        </w:rPr>
      </w:pPr>
      <w:r w:rsidRPr="00822B9B">
        <w:rPr>
          <w:rFonts w:cs="Calibri"/>
          <w:sz w:val="24"/>
          <w:szCs w:val="24"/>
        </w:rPr>
        <w:t>Rock Ridge Medical</w:t>
      </w:r>
      <w:r w:rsidR="00843DF3" w:rsidRPr="00822B9B">
        <w:rPr>
          <w:rFonts w:cs="Calibri"/>
          <w:sz w:val="24"/>
          <w:szCs w:val="24"/>
        </w:rPr>
        <w:t xml:space="preserve"> – Incident within an incident.  During suppression efforts </w:t>
      </w:r>
      <w:r w:rsidR="003853D8">
        <w:rPr>
          <w:rFonts w:cs="Calibri"/>
          <w:sz w:val="24"/>
          <w:szCs w:val="24"/>
        </w:rPr>
        <w:t xml:space="preserve">of the Rock Ridge fire, </w:t>
      </w:r>
      <w:r w:rsidR="00843DF3" w:rsidRPr="00822B9B">
        <w:rPr>
          <w:rFonts w:cs="Calibri"/>
          <w:sz w:val="24"/>
          <w:szCs w:val="24"/>
        </w:rPr>
        <w:t>a member of a county engine was burned.  A medevac helicopter was ordered out of Rock Springs along with a ground ambulance.</w:t>
      </w:r>
      <w:r w:rsidR="00722EBF" w:rsidRPr="00822B9B">
        <w:rPr>
          <w:rFonts w:cs="Calibri"/>
          <w:sz w:val="24"/>
          <w:szCs w:val="24"/>
        </w:rPr>
        <w:t xml:space="preserve">  There was difficulty with communication between ground resources and the helicopter resulting in a delay in evacuating the patient.  Several AAR’s have taken place, and there is an effort to fix this communication breakdown.   </w:t>
      </w:r>
    </w:p>
    <w:p w:rsidR="004F7C7D" w:rsidRPr="00822B9B" w:rsidRDefault="00A32834" w:rsidP="00EA19C3">
      <w:pPr>
        <w:rPr>
          <w:rFonts w:cs="Calibri"/>
          <w:sz w:val="24"/>
          <w:szCs w:val="24"/>
        </w:rPr>
      </w:pPr>
      <w:r w:rsidRPr="00822B9B">
        <w:rPr>
          <w:rFonts w:cs="Calibri"/>
          <w:sz w:val="24"/>
          <w:szCs w:val="24"/>
        </w:rPr>
        <w:t>Aircraft</w:t>
      </w:r>
      <w:r w:rsidR="00B04DAD" w:rsidRPr="00822B9B">
        <w:rPr>
          <w:rFonts w:cs="Calibri"/>
          <w:sz w:val="24"/>
          <w:szCs w:val="24"/>
        </w:rPr>
        <w:t xml:space="preserve"> </w:t>
      </w:r>
      <w:r w:rsidRPr="00822B9B">
        <w:rPr>
          <w:rFonts w:cs="Calibri"/>
          <w:sz w:val="24"/>
          <w:szCs w:val="24"/>
        </w:rPr>
        <w:t>- RWC was a heavy participant of both the Forest Health flight and the MAFFS training.  Forest health flight went for 15 days while MAFFS training went on for 3 days with a number of sorties.</w:t>
      </w:r>
    </w:p>
    <w:p w:rsidR="007B5D16" w:rsidRPr="00822B9B" w:rsidRDefault="007B5D16" w:rsidP="007B5D16">
      <w:pPr>
        <w:jc w:val="center"/>
        <w:rPr>
          <w:rFonts w:cs="Calibri"/>
          <w:i/>
          <w:sz w:val="24"/>
          <w:szCs w:val="24"/>
        </w:rPr>
      </w:pPr>
    </w:p>
    <w:p w:rsidR="006646BD" w:rsidRDefault="006646BD" w:rsidP="0084066E">
      <w:pPr>
        <w:spacing w:after="0" w:line="240" w:lineRule="auto"/>
        <w:jc w:val="center"/>
        <w:rPr>
          <w:rFonts w:cs="Calibri"/>
          <w:sz w:val="24"/>
          <w:szCs w:val="24"/>
        </w:rPr>
      </w:pPr>
    </w:p>
    <w:p w:rsidR="0084066E" w:rsidRPr="000A3BF7" w:rsidRDefault="004F7C7D" w:rsidP="0084066E">
      <w:pPr>
        <w:spacing w:after="0" w:line="240" w:lineRule="auto"/>
        <w:jc w:val="center"/>
        <w:rPr>
          <w:rFonts w:cs="Calibri"/>
          <w:b/>
          <w:sz w:val="32"/>
          <w:szCs w:val="32"/>
        </w:rPr>
      </w:pPr>
      <w:r w:rsidRPr="000A3BF7">
        <w:rPr>
          <w:rFonts w:cs="Calibri"/>
          <w:b/>
          <w:sz w:val="32"/>
          <w:szCs w:val="32"/>
        </w:rPr>
        <w:t>WILD</w:t>
      </w:r>
      <w:r w:rsidR="008022EF" w:rsidRPr="000A3BF7">
        <w:rPr>
          <w:rFonts w:cs="Calibri"/>
          <w:b/>
          <w:sz w:val="32"/>
          <w:szCs w:val="32"/>
        </w:rPr>
        <w:t xml:space="preserve">CAD </w:t>
      </w:r>
      <w:r w:rsidR="0084066E" w:rsidRPr="000A3BF7">
        <w:rPr>
          <w:rFonts w:cs="Calibri"/>
          <w:b/>
          <w:sz w:val="32"/>
          <w:szCs w:val="32"/>
        </w:rPr>
        <w:t>INCIDENTS</w:t>
      </w:r>
      <w:r w:rsidR="008022EF" w:rsidRPr="000A3BF7">
        <w:rPr>
          <w:rFonts w:cs="Calibri"/>
          <w:b/>
          <w:sz w:val="32"/>
          <w:szCs w:val="32"/>
        </w:rPr>
        <w:t xml:space="preserve"> BY TYPE</w:t>
      </w:r>
    </w:p>
    <w:p w:rsidR="0084066E" w:rsidRPr="0084066E" w:rsidRDefault="0084066E" w:rsidP="0084066E">
      <w:pPr>
        <w:spacing w:after="0" w:line="240" w:lineRule="auto"/>
        <w:jc w:val="center"/>
        <w:rPr>
          <w:rFonts w:cs="Calibri"/>
          <w:b/>
          <w:sz w:val="24"/>
          <w:szCs w:val="24"/>
        </w:rPr>
      </w:pPr>
    </w:p>
    <w:tbl>
      <w:tblPr>
        <w:tblStyle w:val="TableGrid"/>
        <w:tblW w:w="2131" w:type="dxa"/>
        <w:jc w:val="center"/>
        <w:tblLook w:val="04A0" w:firstRow="1" w:lastRow="0" w:firstColumn="1" w:lastColumn="0" w:noHBand="0" w:noVBand="1"/>
      </w:tblPr>
      <w:tblGrid>
        <w:gridCol w:w="1609"/>
        <w:gridCol w:w="1128"/>
      </w:tblGrid>
      <w:tr w:rsidR="0084066E" w:rsidRPr="008022EF" w:rsidTr="00A32834">
        <w:trPr>
          <w:trHeight w:val="62"/>
          <w:jc w:val="center"/>
        </w:trPr>
        <w:tc>
          <w:tcPr>
            <w:tcW w:w="0" w:type="auto"/>
            <w:shd w:val="clear" w:color="auto" w:fill="FF0000"/>
          </w:tcPr>
          <w:p w:rsidR="0084066E" w:rsidRPr="008022EF" w:rsidRDefault="0084066E" w:rsidP="00A768B8">
            <w:pPr>
              <w:jc w:val="center"/>
              <w:rPr>
                <w:rFonts w:cs="Calibri"/>
                <w:b/>
                <w:sz w:val="24"/>
                <w:szCs w:val="24"/>
              </w:rPr>
            </w:pPr>
            <w:r w:rsidRPr="008022EF">
              <w:rPr>
                <w:rFonts w:cs="Calibri"/>
                <w:b/>
                <w:sz w:val="24"/>
                <w:szCs w:val="24"/>
              </w:rPr>
              <w:t>INCIDENT TYPE</w:t>
            </w:r>
          </w:p>
        </w:tc>
        <w:tc>
          <w:tcPr>
            <w:tcW w:w="0" w:type="auto"/>
            <w:shd w:val="clear" w:color="auto" w:fill="FF0000"/>
          </w:tcPr>
          <w:p w:rsidR="0084066E" w:rsidRPr="008022EF" w:rsidRDefault="0084066E" w:rsidP="00A768B8">
            <w:pPr>
              <w:jc w:val="center"/>
              <w:rPr>
                <w:rFonts w:cs="Calibri"/>
                <w:b/>
                <w:sz w:val="24"/>
                <w:szCs w:val="24"/>
              </w:rPr>
            </w:pPr>
            <w:r w:rsidRPr="008022EF">
              <w:rPr>
                <w:rFonts w:cs="Calibri"/>
                <w:b/>
                <w:sz w:val="24"/>
                <w:szCs w:val="24"/>
              </w:rPr>
              <w:t>NUMBER</w:t>
            </w:r>
          </w:p>
        </w:tc>
      </w:tr>
      <w:tr w:rsidR="0084066E" w:rsidRPr="008022EF" w:rsidTr="00A32834">
        <w:trPr>
          <w:trHeight w:val="62"/>
          <w:jc w:val="center"/>
        </w:trPr>
        <w:tc>
          <w:tcPr>
            <w:tcW w:w="0" w:type="auto"/>
          </w:tcPr>
          <w:p w:rsidR="0084066E" w:rsidRPr="008022EF" w:rsidRDefault="0084066E" w:rsidP="00A768B8">
            <w:pPr>
              <w:jc w:val="center"/>
              <w:rPr>
                <w:rFonts w:cs="Calibri"/>
                <w:sz w:val="24"/>
                <w:szCs w:val="24"/>
              </w:rPr>
            </w:pPr>
            <w:r w:rsidRPr="008022EF">
              <w:rPr>
                <w:rFonts w:cs="Calibri"/>
                <w:sz w:val="24"/>
                <w:szCs w:val="24"/>
              </w:rPr>
              <w:t>Aircraft</w:t>
            </w:r>
          </w:p>
        </w:tc>
        <w:tc>
          <w:tcPr>
            <w:tcW w:w="0" w:type="auto"/>
          </w:tcPr>
          <w:p w:rsidR="0084066E" w:rsidRPr="008022EF" w:rsidRDefault="00A32834" w:rsidP="008022EF">
            <w:pPr>
              <w:jc w:val="center"/>
              <w:rPr>
                <w:rFonts w:cs="Calibri"/>
                <w:sz w:val="24"/>
                <w:szCs w:val="24"/>
              </w:rPr>
            </w:pPr>
            <w:r>
              <w:rPr>
                <w:rFonts w:cs="Calibri"/>
                <w:sz w:val="24"/>
                <w:szCs w:val="24"/>
              </w:rPr>
              <w:t>14</w:t>
            </w:r>
          </w:p>
        </w:tc>
      </w:tr>
      <w:tr w:rsidR="008022EF" w:rsidRPr="008022EF" w:rsidTr="00A32834">
        <w:trPr>
          <w:trHeight w:val="62"/>
          <w:jc w:val="center"/>
        </w:trPr>
        <w:tc>
          <w:tcPr>
            <w:tcW w:w="0" w:type="auto"/>
          </w:tcPr>
          <w:p w:rsidR="008022EF" w:rsidRPr="008022EF" w:rsidRDefault="008022EF" w:rsidP="00A768B8">
            <w:pPr>
              <w:jc w:val="center"/>
              <w:rPr>
                <w:rFonts w:cs="Calibri"/>
                <w:sz w:val="24"/>
                <w:szCs w:val="24"/>
              </w:rPr>
            </w:pPr>
            <w:r w:rsidRPr="008022EF">
              <w:rPr>
                <w:rFonts w:cs="Calibri"/>
                <w:sz w:val="24"/>
                <w:szCs w:val="24"/>
              </w:rPr>
              <w:t>Medical Aid</w:t>
            </w:r>
          </w:p>
        </w:tc>
        <w:tc>
          <w:tcPr>
            <w:tcW w:w="0" w:type="auto"/>
          </w:tcPr>
          <w:p w:rsidR="008022EF" w:rsidRPr="008022EF" w:rsidRDefault="00A32834" w:rsidP="00A768B8">
            <w:pPr>
              <w:jc w:val="center"/>
              <w:rPr>
                <w:rFonts w:cs="Calibri"/>
                <w:sz w:val="24"/>
                <w:szCs w:val="24"/>
              </w:rPr>
            </w:pPr>
            <w:r>
              <w:rPr>
                <w:rFonts w:cs="Calibri"/>
                <w:sz w:val="24"/>
                <w:szCs w:val="24"/>
              </w:rPr>
              <w:t>2</w:t>
            </w:r>
          </w:p>
        </w:tc>
      </w:tr>
      <w:tr w:rsidR="0084066E" w:rsidRPr="008022EF" w:rsidTr="00A32834">
        <w:trPr>
          <w:trHeight w:val="62"/>
          <w:jc w:val="center"/>
        </w:trPr>
        <w:tc>
          <w:tcPr>
            <w:tcW w:w="0" w:type="auto"/>
          </w:tcPr>
          <w:p w:rsidR="0084066E" w:rsidRPr="008022EF" w:rsidRDefault="0084066E" w:rsidP="00A768B8">
            <w:pPr>
              <w:jc w:val="center"/>
              <w:rPr>
                <w:rFonts w:cs="Calibri"/>
                <w:sz w:val="24"/>
                <w:szCs w:val="24"/>
              </w:rPr>
            </w:pPr>
            <w:r w:rsidRPr="008022EF">
              <w:rPr>
                <w:rFonts w:cs="Calibri"/>
                <w:sz w:val="24"/>
                <w:szCs w:val="24"/>
              </w:rPr>
              <w:t>Miscellaneous</w:t>
            </w:r>
          </w:p>
        </w:tc>
        <w:tc>
          <w:tcPr>
            <w:tcW w:w="0" w:type="auto"/>
          </w:tcPr>
          <w:p w:rsidR="0084066E" w:rsidRPr="008022EF" w:rsidRDefault="00A32834" w:rsidP="00A768B8">
            <w:pPr>
              <w:jc w:val="center"/>
              <w:rPr>
                <w:rFonts w:cs="Calibri"/>
                <w:sz w:val="24"/>
                <w:szCs w:val="24"/>
              </w:rPr>
            </w:pPr>
            <w:r>
              <w:rPr>
                <w:rFonts w:cs="Calibri"/>
                <w:sz w:val="24"/>
                <w:szCs w:val="24"/>
              </w:rPr>
              <w:t>8</w:t>
            </w:r>
          </w:p>
        </w:tc>
      </w:tr>
      <w:tr w:rsidR="0084066E" w:rsidRPr="008022EF" w:rsidTr="00A32834">
        <w:trPr>
          <w:trHeight w:val="62"/>
          <w:jc w:val="center"/>
        </w:trPr>
        <w:tc>
          <w:tcPr>
            <w:tcW w:w="0" w:type="auto"/>
          </w:tcPr>
          <w:p w:rsidR="0084066E" w:rsidRPr="008022EF" w:rsidRDefault="0084066E" w:rsidP="00A768B8">
            <w:pPr>
              <w:jc w:val="center"/>
              <w:rPr>
                <w:rFonts w:cs="Calibri"/>
                <w:sz w:val="24"/>
                <w:szCs w:val="24"/>
              </w:rPr>
            </w:pPr>
            <w:r w:rsidRPr="008022EF">
              <w:rPr>
                <w:rFonts w:cs="Calibri"/>
                <w:sz w:val="24"/>
                <w:szCs w:val="24"/>
              </w:rPr>
              <w:t>Prescribed Fire</w:t>
            </w:r>
          </w:p>
        </w:tc>
        <w:tc>
          <w:tcPr>
            <w:tcW w:w="0" w:type="auto"/>
          </w:tcPr>
          <w:p w:rsidR="0084066E" w:rsidRPr="008022EF" w:rsidRDefault="00A32834" w:rsidP="008022EF">
            <w:pPr>
              <w:jc w:val="center"/>
              <w:rPr>
                <w:rFonts w:cs="Calibri"/>
                <w:sz w:val="24"/>
                <w:szCs w:val="24"/>
              </w:rPr>
            </w:pPr>
            <w:r>
              <w:rPr>
                <w:rFonts w:cs="Calibri"/>
                <w:sz w:val="24"/>
                <w:szCs w:val="24"/>
              </w:rPr>
              <w:t>12</w:t>
            </w:r>
          </w:p>
        </w:tc>
      </w:tr>
      <w:tr w:rsidR="0084066E" w:rsidRPr="008022EF" w:rsidTr="00A32834">
        <w:trPr>
          <w:trHeight w:val="62"/>
          <w:jc w:val="center"/>
        </w:trPr>
        <w:tc>
          <w:tcPr>
            <w:tcW w:w="0" w:type="auto"/>
          </w:tcPr>
          <w:p w:rsidR="0084066E" w:rsidRPr="008022EF" w:rsidRDefault="0084066E" w:rsidP="00A768B8">
            <w:pPr>
              <w:jc w:val="center"/>
              <w:rPr>
                <w:rFonts w:cs="Calibri"/>
                <w:sz w:val="24"/>
                <w:szCs w:val="24"/>
              </w:rPr>
            </w:pPr>
            <w:r w:rsidRPr="008022EF">
              <w:rPr>
                <w:rFonts w:cs="Calibri"/>
                <w:sz w:val="24"/>
                <w:szCs w:val="24"/>
              </w:rPr>
              <w:t>Resource Order</w:t>
            </w:r>
          </w:p>
        </w:tc>
        <w:tc>
          <w:tcPr>
            <w:tcW w:w="0" w:type="auto"/>
          </w:tcPr>
          <w:p w:rsidR="0084066E" w:rsidRPr="008022EF" w:rsidRDefault="00A32834" w:rsidP="008022EF">
            <w:pPr>
              <w:jc w:val="center"/>
              <w:rPr>
                <w:rFonts w:cs="Calibri"/>
                <w:sz w:val="24"/>
                <w:szCs w:val="24"/>
              </w:rPr>
            </w:pPr>
            <w:r>
              <w:rPr>
                <w:rFonts w:cs="Calibri"/>
                <w:sz w:val="24"/>
                <w:szCs w:val="24"/>
              </w:rPr>
              <w:t>53</w:t>
            </w:r>
          </w:p>
        </w:tc>
      </w:tr>
      <w:tr w:rsidR="0084066E" w:rsidRPr="008022EF" w:rsidTr="00A32834">
        <w:trPr>
          <w:trHeight w:val="62"/>
          <w:jc w:val="center"/>
        </w:trPr>
        <w:tc>
          <w:tcPr>
            <w:tcW w:w="0" w:type="auto"/>
          </w:tcPr>
          <w:p w:rsidR="0084066E" w:rsidRPr="008022EF" w:rsidRDefault="0084066E" w:rsidP="00A768B8">
            <w:pPr>
              <w:jc w:val="center"/>
              <w:rPr>
                <w:rFonts w:cs="Calibri"/>
                <w:sz w:val="24"/>
                <w:szCs w:val="24"/>
              </w:rPr>
            </w:pPr>
            <w:r w:rsidRPr="008022EF">
              <w:rPr>
                <w:rFonts w:cs="Calibri"/>
                <w:sz w:val="24"/>
                <w:szCs w:val="24"/>
              </w:rPr>
              <w:t>SAR</w:t>
            </w:r>
          </w:p>
        </w:tc>
        <w:tc>
          <w:tcPr>
            <w:tcW w:w="0" w:type="auto"/>
          </w:tcPr>
          <w:p w:rsidR="0084066E" w:rsidRPr="008022EF" w:rsidRDefault="00A32834" w:rsidP="00A768B8">
            <w:pPr>
              <w:jc w:val="center"/>
              <w:rPr>
                <w:rFonts w:cs="Calibri"/>
                <w:sz w:val="24"/>
                <w:szCs w:val="24"/>
              </w:rPr>
            </w:pPr>
            <w:r>
              <w:rPr>
                <w:rFonts w:cs="Calibri"/>
                <w:sz w:val="24"/>
                <w:szCs w:val="24"/>
              </w:rPr>
              <w:t>1</w:t>
            </w:r>
          </w:p>
        </w:tc>
      </w:tr>
      <w:tr w:rsidR="0084066E" w:rsidRPr="008022EF" w:rsidTr="00A32834">
        <w:trPr>
          <w:trHeight w:val="62"/>
          <w:jc w:val="center"/>
        </w:trPr>
        <w:tc>
          <w:tcPr>
            <w:tcW w:w="0" w:type="auto"/>
          </w:tcPr>
          <w:p w:rsidR="0084066E" w:rsidRPr="008022EF" w:rsidRDefault="0084066E" w:rsidP="00A768B8">
            <w:pPr>
              <w:jc w:val="center"/>
              <w:rPr>
                <w:rFonts w:cs="Calibri"/>
                <w:sz w:val="24"/>
                <w:szCs w:val="24"/>
              </w:rPr>
            </w:pPr>
            <w:r w:rsidRPr="008022EF">
              <w:rPr>
                <w:rFonts w:cs="Calibri"/>
                <w:sz w:val="24"/>
                <w:szCs w:val="24"/>
              </w:rPr>
              <w:t>Smoke Check</w:t>
            </w:r>
          </w:p>
        </w:tc>
        <w:tc>
          <w:tcPr>
            <w:tcW w:w="0" w:type="auto"/>
          </w:tcPr>
          <w:p w:rsidR="0084066E" w:rsidRPr="008022EF" w:rsidRDefault="00A32834" w:rsidP="00A768B8">
            <w:pPr>
              <w:jc w:val="center"/>
              <w:rPr>
                <w:rFonts w:cs="Calibri"/>
                <w:sz w:val="24"/>
                <w:szCs w:val="24"/>
              </w:rPr>
            </w:pPr>
            <w:r>
              <w:rPr>
                <w:rFonts w:cs="Calibri"/>
                <w:sz w:val="24"/>
                <w:szCs w:val="24"/>
              </w:rPr>
              <w:t>39</w:t>
            </w:r>
          </w:p>
        </w:tc>
      </w:tr>
      <w:tr w:rsidR="0084066E" w:rsidRPr="008022EF" w:rsidTr="00A32834">
        <w:trPr>
          <w:trHeight w:val="62"/>
          <w:jc w:val="center"/>
        </w:trPr>
        <w:tc>
          <w:tcPr>
            <w:tcW w:w="0" w:type="auto"/>
          </w:tcPr>
          <w:p w:rsidR="0084066E" w:rsidRPr="008022EF" w:rsidRDefault="0084066E" w:rsidP="00A768B8">
            <w:pPr>
              <w:jc w:val="center"/>
              <w:rPr>
                <w:rFonts w:cs="Calibri"/>
                <w:sz w:val="24"/>
                <w:szCs w:val="24"/>
              </w:rPr>
            </w:pPr>
            <w:r w:rsidRPr="008022EF">
              <w:rPr>
                <w:rFonts w:cs="Calibri"/>
                <w:sz w:val="24"/>
                <w:szCs w:val="24"/>
              </w:rPr>
              <w:t>Structure Fire</w:t>
            </w:r>
          </w:p>
        </w:tc>
        <w:tc>
          <w:tcPr>
            <w:tcW w:w="0" w:type="auto"/>
          </w:tcPr>
          <w:p w:rsidR="0084066E" w:rsidRPr="008022EF" w:rsidRDefault="00A32834" w:rsidP="00A768B8">
            <w:pPr>
              <w:jc w:val="center"/>
              <w:rPr>
                <w:rFonts w:cs="Calibri"/>
                <w:sz w:val="24"/>
                <w:szCs w:val="24"/>
              </w:rPr>
            </w:pPr>
            <w:r>
              <w:rPr>
                <w:rFonts w:cs="Calibri"/>
                <w:sz w:val="24"/>
                <w:szCs w:val="24"/>
              </w:rPr>
              <w:t>4</w:t>
            </w:r>
          </w:p>
        </w:tc>
      </w:tr>
      <w:tr w:rsidR="0084066E" w:rsidRPr="008022EF" w:rsidTr="00A32834">
        <w:trPr>
          <w:trHeight w:val="62"/>
          <w:jc w:val="center"/>
        </w:trPr>
        <w:tc>
          <w:tcPr>
            <w:tcW w:w="0" w:type="auto"/>
          </w:tcPr>
          <w:p w:rsidR="0084066E" w:rsidRPr="008022EF" w:rsidRDefault="0084066E" w:rsidP="00A768B8">
            <w:pPr>
              <w:jc w:val="center"/>
              <w:rPr>
                <w:rFonts w:cs="Calibri"/>
                <w:sz w:val="24"/>
                <w:szCs w:val="24"/>
              </w:rPr>
            </w:pPr>
            <w:r w:rsidRPr="008022EF">
              <w:rPr>
                <w:rFonts w:cs="Calibri"/>
                <w:sz w:val="24"/>
                <w:szCs w:val="24"/>
              </w:rPr>
              <w:t>Vehicle Fire</w:t>
            </w:r>
          </w:p>
        </w:tc>
        <w:tc>
          <w:tcPr>
            <w:tcW w:w="0" w:type="auto"/>
          </w:tcPr>
          <w:p w:rsidR="0084066E" w:rsidRPr="008022EF" w:rsidRDefault="00A32834" w:rsidP="00A768B8">
            <w:pPr>
              <w:jc w:val="center"/>
              <w:rPr>
                <w:rFonts w:cs="Calibri"/>
                <w:sz w:val="24"/>
                <w:szCs w:val="24"/>
              </w:rPr>
            </w:pPr>
            <w:r>
              <w:rPr>
                <w:rFonts w:cs="Calibri"/>
                <w:sz w:val="24"/>
                <w:szCs w:val="24"/>
              </w:rPr>
              <w:t>2</w:t>
            </w:r>
          </w:p>
        </w:tc>
      </w:tr>
      <w:tr w:rsidR="0084066E" w:rsidRPr="008022EF" w:rsidTr="00A32834">
        <w:trPr>
          <w:trHeight w:val="62"/>
          <w:jc w:val="center"/>
        </w:trPr>
        <w:tc>
          <w:tcPr>
            <w:tcW w:w="0" w:type="auto"/>
          </w:tcPr>
          <w:p w:rsidR="0084066E" w:rsidRPr="008022EF" w:rsidRDefault="0084066E" w:rsidP="00A768B8">
            <w:pPr>
              <w:jc w:val="center"/>
              <w:rPr>
                <w:rFonts w:cs="Calibri"/>
                <w:sz w:val="24"/>
                <w:szCs w:val="24"/>
              </w:rPr>
            </w:pPr>
            <w:r w:rsidRPr="008022EF">
              <w:rPr>
                <w:rFonts w:cs="Calibri"/>
                <w:sz w:val="24"/>
                <w:szCs w:val="24"/>
              </w:rPr>
              <w:t>Wildfire</w:t>
            </w:r>
          </w:p>
        </w:tc>
        <w:tc>
          <w:tcPr>
            <w:tcW w:w="0" w:type="auto"/>
          </w:tcPr>
          <w:p w:rsidR="0084066E" w:rsidRPr="008022EF" w:rsidRDefault="000C34D3" w:rsidP="000C34D3">
            <w:pPr>
              <w:jc w:val="center"/>
              <w:rPr>
                <w:rFonts w:cs="Calibri"/>
                <w:sz w:val="24"/>
                <w:szCs w:val="24"/>
              </w:rPr>
            </w:pPr>
            <w:r>
              <w:rPr>
                <w:rFonts w:cs="Calibri"/>
                <w:sz w:val="24"/>
                <w:szCs w:val="24"/>
              </w:rPr>
              <w:t>65</w:t>
            </w:r>
            <w:r w:rsidR="003C7E12" w:rsidRPr="008022EF">
              <w:rPr>
                <w:rFonts w:cs="Calibri"/>
                <w:sz w:val="24"/>
                <w:szCs w:val="24"/>
              </w:rPr>
              <w:t xml:space="preserve"> </w:t>
            </w:r>
          </w:p>
        </w:tc>
      </w:tr>
      <w:tr w:rsidR="0084066E" w:rsidRPr="008022EF" w:rsidTr="00A32834">
        <w:trPr>
          <w:trHeight w:val="48"/>
          <w:jc w:val="center"/>
        </w:trPr>
        <w:tc>
          <w:tcPr>
            <w:tcW w:w="0" w:type="auto"/>
            <w:shd w:val="clear" w:color="auto" w:fill="FF0000"/>
          </w:tcPr>
          <w:p w:rsidR="0084066E" w:rsidRPr="008022EF" w:rsidRDefault="00A768B8" w:rsidP="00A768B8">
            <w:pPr>
              <w:jc w:val="center"/>
              <w:rPr>
                <w:rFonts w:cs="Calibri"/>
                <w:b/>
                <w:sz w:val="24"/>
                <w:szCs w:val="24"/>
              </w:rPr>
            </w:pPr>
            <w:r w:rsidRPr="008022EF">
              <w:rPr>
                <w:rFonts w:cs="Calibri"/>
                <w:b/>
                <w:sz w:val="24"/>
                <w:szCs w:val="24"/>
              </w:rPr>
              <w:t>Total</w:t>
            </w:r>
          </w:p>
        </w:tc>
        <w:tc>
          <w:tcPr>
            <w:tcW w:w="0" w:type="auto"/>
            <w:shd w:val="clear" w:color="auto" w:fill="FF0000"/>
          </w:tcPr>
          <w:p w:rsidR="0084066E" w:rsidRPr="008022EF" w:rsidRDefault="00B937CA" w:rsidP="00A768B8">
            <w:pPr>
              <w:jc w:val="center"/>
              <w:rPr>
                <w:rFonts w:cs="Calibri"/>
                <w:b/>
                <w:sz w:val="24"/>
                <w:szCs w:val="24"/>
              </w:rPr>
            </w:pPr>
            <w:r>
              <w:rPr>
                <w:rFonts w:cs="Calibri"/>
                <w:b/>
                <w:sz w:val="24"/>
                <w:szCs w:val="24"/>
              </w:rPr>
              <w:t>200</w:t>
            </w:r>
          </w:p>
        </w:tc>
      </w:tr>
    </w:tbl>
    <w:p w:rsidR="0084066E" w:rsidRPr="008022EF" w:rsidRDefault="0084066E" w:rsidP="00151E1C">
      <w:pPr>
        <w:rPr>
          <w:rFonts w:cs="Calibri"/>
          <w:sz w:val="24"/>
          <w:szCs w:val="24"/>
        </w:rPr>
      </w:pPr>
    </w:p>
    <w:p w:rsidR="00234E72" w:rsidRDefault="00234E72"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3853D8" w:rsidRDefault="003853D8" w:rsidP="00855285">
      <w:pPr>
        <w:spacing w:after="0" w:line="240" w:lineRule="auto"/>
        <w:jc w:val="center"/>
        <w:rPr>
          <w:rFonts w:cs="Calibri"/>
          <w:b/>
          <w:sz w:val="24"/>
          <w:szCs w:val="24"/>
        </w:rPr>
      </w:pPr>
    </w:p>
    <w:p w:rsidR="00855285" w:rsidRPr="000A3BF7" w:rsidRDefault="00855285" w:rsidP="00855285">
      <w:pPr>
        <w:spacing w:after="0" w:line="240" w:lineRule="auto"/>
        <w:jc w:val="center"/>
        <w:rPr>
          <w:rFonts w:cs="Calibri"/>
          <w:sz w:val="32"/>
          <w:szCs w:val="32"/>
        </w:rPr>
      </w:pPr>
      <w:r w:rsidRPr="000A3BF7">
        <w:rPr>
          <w:rFonts w:cs="Calibri"/>
          <w:sz w:val="32"/>
          <w:szCs w:val="32"/>
        </w:rPr>
        <w:lastRenderedPageBreak/>
        <w:t>Resources Sent Out</w:t>
      </w:r>
    </w:p>
    <w:p w:rsidR="00855285" w:rsidRDefault="00855285" w:rsidP="00855285">
      <w:pPr>
        <w:spacing w:after="0" w:line="240" w:lineRule="auto"/>
        <w:jc w:val="center"/>
        <w:rPr>
          <w:rFonts w:cs="Calibri"/>
          <w:b/>
          <w:sz w:val="24"/>
          <w:szCs w:val="24"/>
        </w:rPr>
      </w:pPr>
    </w:p>
    <w:p w:rsidR="00501C9D" w:rsidRDefault="00855285" w:rsidP="00855285">
      <w:pPr>
        <w:spacing w:after="0" w:line="240" w:lineRule="auto"/>
        <w:rPr>
          <w:rFonts w:cs="Calibri"/>
          <w:sz w:val="24"/>
          <w:szCs w:val="24"/>
        </w:rPr>
      </w:pPr>
      <w:r>
        <w:rPr>
          <w:rFonts w:cs="Calibri"/>
          <w:sz w:val="24"/>
          <w:szCs w:val="24"/>
        </w:rPr>
        <w:t xml:space="preserve">Given the nature of a moderately slow fire season in southern Wyoming, Rawlins Dispatch was able to fill multiple resource orders for events outside of our zone. </w:t>
      </w:r>
    </w:p>
    <w:p w:rsidR="00855285" w:rsidRDefault="000A3BF7" w:rsidP="00855285">
      <w:pPr>
        <w:spacing w:after="0" w:line="240" w:lineRule="auto"/>
        <w:jc w:val="center"/>
        <w:rPr>
          <w:rFonts w:cs="Calibri"/>
          <w:sz w:val="24"/>
          <w:szCs w:val="24"/>
        </w:rPr>
      </w:pPr>
      <w:r>
        <w:rPr>
          <w:noProof/>
        </w:rPr>
        <w:drawing>
          <wp:inline distT="0" distB="0" distL="0" distR="0" wp14:anchorId="61235602" wp14:editId="69147179">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5285" w:rsidRPr="00855285" w:rsidRDefault="00855285" w:rsidP="00855285">
      <w:pPr>
        <w:spacing w:after="0" w:line="240" w:lineRule="auto"/>
        <w:jc w:val="center"/>
        <w:rPr>
          <w:rFonts w:cs="Calibri"/>
          <w:sz w:val="24"/>
          <w:szCs w:val="24"/>
        </w:rPr>
      </w:pPr>
    </w:p>
    <w:p w:rsidR="00855285" w:rsidRDefault="000A3BF7" w:rsidP="00A60D9B">
      <w:pPr>
        <w:jc w:val="center"/>
        <w:rPr>
          <w:rFonts w:cs="Calibri"/>
          <w:b/>
          <w:sz w:val="32"/>
          <w:szCs w:val="24"/>
        </w:rPr>
      </w:pPr>
      <w:r>
        <w:rPr>
          <w:noProof/>
        </w:rPr>
        <w:drawing>
          <wp:inline distT="0" distB="0" distL="0" distR="0" wp14:anchorId="4C2F5AB6" wp14:editId="589FC574">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5285" w:rsidRDefault="00855285" w:rsidP="00A60D9B">
      <w:pPr>
        <w:jc w:val="center"/>
        <w:rPr>
          <w:rFonts w:cs="Calibri"/>
          <w:b/>
          <w:sz w:val="32"/>
          <w:szCs w:val="24"/>
        </w:rPr>
      </w:pPr>
    </w:p>
    <w:p w:rsidR="00B555A6" w:rsidRDefault="00B555A6" w:rsidP="00A60D9B">
      <w:pPr>
        <w:jc w:val="center"/>
        <w:rPr>
          <w:rFonts w:cs="Calibri"/>
          <w:b/>
          <w:sz w:val="32"/>
          <w:szCs w:val="24"/>
        </w:rPr>
      </w:pPr>
    </w:p>
    <w:p w:rsidR="00B555A6" w:rsidRDefault="00B555A6" w:rsidP="00A60D9B">
      <w:pPr>
        <w:jc w:val="center"/>
        <w:rPr>
          <w:rFonts w:cs="Calibri"/>
          <w:b/>
          <w:sz w:val="32"/>
          <w:szCs w:val="24"/>
        </w:rPr>
      </w:pPr>
    </w:p>
    <w:p w:rsidR="00B555A6" w:rsidRDefault="00B555A6" w:rsidP="00A60D9B">
      <w:pPr>
        <w:jc w:val="center"/>
        <w:rPr>
          <w:rFonts w:cs="Calibri"/>
          <w:b/>
          <w:sz w:val="32"/>
          <w:szCs w:val="24"/>
        </w:rPr>
      </w:pPr>
    </w:p>
    <w:p w:rsidR="00314BD4" w:rsidRPr="00743DF6" w:rsidRDefault="00314BD4" w:rsidP="00A60D9B">
      <w:pPr>
        <w:jc w:val="center"/>
        <w:rPr>
          <w:rFonts w:cs="Calibri"/>
          <w:b/>
          <w:sz w:val="32"/>
          <w:szCs w:val="24"/>
        </w:rPr>
      </w:pPr>
      <w:r w:rsidRPr="00461CE0">
        <w:rPr>
          <w:rFonts w:cs="Calibri"/>
          <w:b/>
          <w:sz w:val="32"/>
          <w:szCs w:val="24"/>
        </w:rPr>
        <w:lastRenderedPageBreak/>
        <w:t>Rawlins Aviation Activity in 2013</w:t>
      </w:r>
    </w:p>
    <w:p w:rsidR="00A60D9B" w:rsidRPr="00787B6F" w:rsidRDefault="00A60D9B" w:rsidP="00A60D9B">
      <w:pPr>
        <w:jc w:val="center"/>
        <w:rPr>
          <w:rFonts w:cs="Calibri"/>
          <w:sz w:val="24"/>
          <w:szCs w:val="24"/>
        </w:rPr>
      </w:pPr>
      <w:bookmarkStart w:id="1" w:name="OLE_LINK1"/>
      <w:bookmarkStart w:id="2" w:name="OLE_LINK2"/>
      <w:r w:rsidRPr="00787B6F">
        <w:rPr>
          <w:rFonts w:cs="Calibri"/>
          <w:b/>
          <w:sz w:val="24"/>
          <w:szCs w:val="24"/>
        </w:rPr>
        <w:t xml:space="preserve">BLM Contracted Type 3 </w:t>
      </w:r>
      <w:r w:rsidR="000665FA">
        <w:rPr>
          <w:rFonts w:cs="Calibri"/>
          <w:b/>
          <w:sz w:val="24"/>
          <w:szCs w:val="24"/>
        </w:rPr>
        <w:t xml:space="preserve">Standard </w:t>
      </w:r>
      <w:r w:rsidRPr="00787B6F">
        <w:rPr>
          <w:rFonts w:cs="Calibri"/>
          <w:b/>
          <w:sz w:val="24"/>
          <w:szCs w:val="24"/>
        </w:rPr>
        <w:t>Helicopter</w:t>
      </w:r>
    </w:p>
    <w:bookmarkEnd w:id="1"/>
    <w:bookmarkEnd w:id="2"/>
    <w:p w:rsidR="00A60D9B" w:rsidRDefault="00A60D9B" w:rsidP="00A60D9B">
      <w:pPr>
        <w:rPr>
          <w:rFonts w:cs="Calibri"/>
          <w:sz w:val="24"/>
          <w:szCs w:val="24"/>
        </w:rPr>
      </w:pPr>
      <w:r w:rsidRPr="00787B6F">
        <w:rPr>
          <w:rFonts w:cs="Calibri"/>
          <w:sz w:val="24"/>
          <w:szCs w:val="24"/>
        </w:rPr>
        <w:t>N</w:t>
      </w:r>
      <w:r w:rsidR="00314BD4">
        <w:rPr>
          <w:rFonts w:cs="Calibri"/>
          <w:sz w:val="24"/>
          <w:szCs w:val="24"/>
        </w:rPr>
        <w:t>32HX</w:t>
      </w:r>
      <w:r w:rsidRPr="00787B6F">
        <w:rPr>
          <w:rFonts w:cs="Calibri"/>
          <w:sz w:val="24"/>
          <w:szCs w:val="24"/>
        </w:rPr>
        <w:t xml:space="preserve"> began its </w:t>
      </w:r>
      <w:r w:rsidR="00314BD4">
        <w:rPr>
          <w:rFonts w:cs="Calibri"/>
          <w:sz w:val="24"/>
          <w:szCs w:val="24"/>
        </w:rPr>
        <w:t xml:space="preserve">90 day </w:t>
      </w:r>
      <w:r w:rsidRPr="00787B6F">
        <w:rPr>
          <w:rFonts w:cs="Calibri"/>
          <w:sz w:val="24"/>
          <w:szCs w:val="24"/>
        </w:rPr>
        <w:t xml:space="preserve">contract on June </w:t>
      </w:r>
      <w:r w:rsidR="00461CE0">
        <w:rPr>
          <w:rFonts w:cs="Calibri"/>
          <w:sz w:val="24"/>
          <w:szCs w:val="24"/>
        </w:rPr>
        <w:t>15</w:t>
      </w:r>
      <w:r w:rsidRPr="00787B6F">
        <w:rPr>
          <w:rFonts w:cs="Calibri"/>
          <w:sz w:val="24"/>
          <w:szCs w:val="24"/>
          <w:vertAlign w:val="superscript"/>
        </w:rPr>
        <w:t>th</w:t>
      </w:r>
      <w:r w:rsidR="00314BD4">
        <w:rPr>
          <w:rFonts w:cs="Calibri"/>
          <w:sz w:val="24"/>
          <w:szCs w:val="24"/>
          <w:vertAlign w:val="superscript"/>
        </w:rPr>
        <w:t xml:space="preserve"> </w:t>
      </w:r>
      <w:r w:rsidR="00314BD4">
        <w:rPr>
          <w:rFonts w:cs="Calibri"/>
          <w:sz w:val="24"/>
          <w:szCs w:val="24"/>
        </w:rPr>
        <w:t xml:space="preserve">and ended its season on September </w:t>
      </w:r>
      <w:r w:rsidR="00461CE0">
        <w:rPr>
          <w:rFonts w:cs="Calibri"/>
          <w:sz w:val="24"/>
          <w:szCs w:val="24"/>
        </w:rPr>
        <w:t>1</w:t>
      </w:r>
      <w:r w:rsidR="00314BD4">
        <w:rPr>
          <w:rFonts w:cs="Calibri"/>
          <w:sz w:val="24"/>
          <w:szCs w:val="24"/>
        </w:rPr>
        <w:t>2 of 201</w:t>
      </w:r>
      <w:r w:rsidR="00461CE0">
        <w:rPr>
          <w:rFonts w:cs="Calibri"/>
          <w:sz w:val="24"/>
          <w:szCs w:val="24"/>
        </w:rPr>
        <w:t>4</w:t>
      </w:r>
      <w:r w:rsidR="00314BD4">
        <w:rPr>
          <w:rFonts w:cs="Calibri"/>
          <w:sz w:val="24"/>
          <w:szCs w:val="24"/>
        </w:rPr>
        <w:t xml:space="preserve">. </w:t>
      </w:r>
      <w:r w:rsidRPr="00787B6F">
        <w:rPr>
          <w:rFonts w:cs="Calibri"/>
          <w:sz w:val="24"/>
          <w:szCs w:val="24"/>
        </w:rPr>
        <w:t xml:space="preserve"> </w:t>
      </w:r>
      <w:r w:rsidR="007106B1">
        <w:rPr>
          <w:rFonts w:cs="Calibri"/>
          <w:sz w:val="24"/>
          <w:szCs w:val="24"/>
        </w:rPr>
        <w:t xml:space="preserve">It was staffed with a module of seven personnel. </w:t>
      </w:r>
      <w:r w:rsidR="000665FA">
        <w:rPr>
          <w:rFonts w:cs="Calibri"/>
          <w:sz w:val="24"/>
          <w:szCs w:val="24"/>
        </w:rPr>
        <w:t>During its 90 day</w:t>
      </w:r>
      <w:r w:rsidR="007106B1">
        <w:rPr>
          <w:rFonts w:cs="Calibri"/>
          <w:sz w:val="24"/>
          <w:szCs w:val="24"/>
        </w:rPr>
        <w:t xml:space="preserve">s of </w:t>
      </w:r>
      <w:r w:rsidR="000665FA">
        <w:rPr>
          <w:rFonts w:cs="Calibri"/>
          <w:sz w:val="24"/>
          <w:szCs w:val="24"/>
        </w:rPr>
        <w:t xml:space="preserve">contract the helicopter flew </w:t>
      </w:r>
      <w:r w:rsidR="00461CE0">
        <w:rPr>
          <w:rFonts w:cs="Calibri"/>
          <w:sz w:val="24"/>
          <w:szCs w:val="24"/>
        </w:rPr>
        <w:t>97.0</w:t>
      </w:r>
      <w:r w:rsidR="000665FA">
        <w:rPr>
          <w:rFonts w:cs="Calibri"/>
          <w:sz w:val="24"/>
          <w:szCs w:val="24"/>
        </w:rPr>
        <w:t xml:space="preserve"> total hours of which </w:t>
      </w:r>
      <w:r w:rsidR="00461CE0">
        <w:rPr>
          <w:rFonts w:cs="Calibri"/>
          <w:sz w:val="24"/>
          <w:szCs w:val="24"/>
        </w:rPr>
        <w:t>36.9</w:t>
      </w:r>
      <w:r w:rsidR="000665FA">
        <w:rPr>
          <w:rFonts w:cs="Calibri"/>
          <w:sz w:val="24"/>
          <w:szCs w:val="24"/>
        </w:rPr>
        <w:t xml:space="preserve"> of those hours were firefighting operations within the </w:t>
      </w:r>
      <w:r w:rsidR="007106B1">
        <w:rPr>
          <w:rFonts w:cs="Calibri"/>
          <w:sz w:val="24"/>
          <w:szCs w:val="24"/>
        </w:rPr>
        <w:t xml:space="preserve">RWC </w:t>
      </w:r>
      <w:r w:rsidR="000665FA">
        <w:rPr>
          <w:rFonts w:cs="Calibri"/>
          <w:sz w:val="24"/>
          <w:szCs w:val="24"/>
        </w:rPr>
        <w:t xml:space="preserve">zone. It delivered a total of </w:t>
      </w:r>
      <w:r w:rsidR="00461CE0">
        <w:rPr>
          <w:rFonts w:cs="Calibri"/>
          <w:sz w:val="24"/>
          <w:szCs w:val="24"/>
        </w:rPr>
        <w:t>26,772</w:t>
      </w:r>
      <w:r w:rsidR="000665FA">
        <w:rPr>
          <w:rFonts w:cs="Calibri"/>
          <w:sz w:val="24"/>
          <w:szCs w:val="24"/>
        </w:rPr>
        <w:t xml:space="preserve"> gallons of water, </w:t>
      </w:r>
      <w:r w:rsidR="00461CE0">
        <w:rPr>
          <w:rFonts w:cs="Calibri"/>
          <w:sz w:val="24"/>
          <w:szCs w:val="24"/>
        </w:rPr>
        <w:t>33,950</w:t>
      </w:r>
      <w:r w:rsidR="000665FA">
        <w:rPr>
          <w:rFonts w:cs="Calibri"/>
          <w:sz w:val="24"/>
          <w:szCs w:val="24"/>
        </w:rPr>
        <w:t xml:space="preserve"> pounds of cargo (both internal and externally) and transported 2</w:t>
      </w:r>
      <w:r w:rsidR="00461CE0">
        <w:rPr>
          <w:rFonts w:cs="Calibri"/>
          <w:sz w:val="24"/>
          <w:szCs w:val="24"/>
        </w:rPr>
        <w:t>55</w:t>
      </w:r>
      <w:r w:rsidR="000665FA">
        <w:rPr>
          <w:rFonts w:cs="Calibri"/>
          <w:sz w:val="24"/>
          <w:szCs w:val="24"/>
        </w:rPr>
        <w:t xml:space="preserve"> passengers.  </w:t>
      </w:r>
    </w:p>
    <w:p w:rsidR="007106B1" w:rsidRDefault="007106B1" w:rsidP="007106B1">
      <w:pPr>
        <w:jc w:val="center"/>
        <w:rPr>
          <w:rFonts w:cs="Calibri"/>
          <w:b/>
          <w:sz w:val="24"/>
          <w:szCs w:val="24"/>
        </w:rPr>
      </w:pPr>
      <w:r w:rsidRPr="00C438E0">
        <w:rPr>
          <w:rFonts w:cs="Calibri"/>
          <w:b/>
          <w:sz w:val="24"/>
          <w:szCs w:val="24"/>
        </w:rPr>
        <w:t>Rawlins SEAT Base</w:t>
      </w:r>
    </w:p>
    <w:p w:rsidR="007106B1" w:rsidRDefault="00136D79" w:rsidP="007106B1">
      <w:pPr>
        <w:rPr>
          <w:rFonts w:cs="Calibri"/>
          <w:sz w:val="24"/>
          <w:szCs w:val="24"/>
        </w:rPr>
      </w:pPr>
      <w:r>
        <w:rPr>
          <w:rFonts w:cs="Calibri"/>
          <w:sz w:val="24"/>
          <w:szCs w:val="24"/>
        </w:rPr>
        <w:t>In support of the 201</w:t>
      </w:r>
      <w:r w:rsidR="000F7F66">
        <w:rPr>
          <w:rFonts w:cs="Calibri"/>
          <w:sz w:val="24"/>
          <w:szCs w:val="24"/>
        </w:rPr>
        <w:t>4</w:t>
      </w:r>
      <w:r>
        <w:rPr>
          <w:rFonts w:cs="Calibri"/>
          <w:sz w:val="24"/>
          <w:szCs w:val="24"/>
        </w:rPr>
        <w:t xml:space="preserve"> fire season the Rawlins SEAT base was open for approximately </w:t>
      </w:r>
      <w:r w:rsidR="00C438E0">
        <w:rPr>
          <w:rFonts w:cs="Calibri"/>
          <w:sz w:val="24"/>
          <w:szCs w:val="24"/>
        </w:rPr>
        <w:t>34</w:t>
      </w:r>
      <w:r>
        <w:rPr>
          <w:rFonts w:cs="Calibri"/>
          <w:sz w:val="24"/>
          <w:szCs w:val="24"/>
        </w:rPr>
        <w:t xml:space="preserve"> days. Dur</w:t>
      </w:r>
      <w:r w:rsidR="00C438E0">
        <w:rPr>
          <w:rFonts w:cs="Calibri"/>
          <w:sz w:val="24"/>
          <w:szCs w:val="24"/>
        </w:rPr>
        <w:t>ing that time, one helicopter, 3</w:t>
      </w:r>
      <w:r>
        <w:rPr>
          <w:rFonts w:cs="Calibri"/>
          <w:sz w:val="24"/>
          <w:szCs w:val="24"/>
        </w:rPr>
        <w:t xml:space="preserve"> Single Engine Air Tankers (SEATs)</w:t>
      </w:r>
      <w:r w:rsidR="00C438E0">
        <w:rPr>
          <w:rFonts w:cs="Calibri"/>
          <w:sz w:val="24"/>
          <w:szCs w:val="24"/>
        </w:rPr>
        <w:t>, one jumper plane</w:t>
      </w:r>
      <w:r>
        <w:rPr>
          <w:rFonts w:cs="Calibri"/>
          <w:sz w:val="24"/>
          <w:szCs w:val="24"/>
        </w:rPr>
        <w:t xml:space="preserve"> and </w:t>
      </w:r>
      <w:r w:rsidR="00C438E0">
        <w:rPr>
          <w:rFonts w:cs="Calibri"/>
          <w:sz w:val="24"/>
          <w:szCs w:val="24"/>
        </w:rPr>
        <w:t>2</w:t>
      </w:r>
      <w:r>
        <w:rPr>
          <w:rFonts w:cs="Calibri"/>
          <w:sz w:val="24"/>
          <w:szCs w:val="24"/>
        </w:rPr>
        <w:t xml:space="preserve"> Air Attack </w:t>
      </w:r>
      <w:proofErr w:type="gramStart"/>
      <w:r>
        <w:rPr>
          <w:rFonts w:cs="Calibri"/>
          <w:sz w:val="24"/>
          <w:szCs w:val="24"/>
        </w:rPr>
        <w:t>platform</w:t>
      </w:r>
      <w:proofErr w:type="gramEnd"/>
      <w:r>
        <w:rPr>
          <w:rFonts w:cs="Calibri"/>
          <w:sz w:val="24"/>
          <w:szCs w:val="24"/>
        </w:rPr>
        <w:t xml:space="preserve"> used the facility. </w:t>
      </w:r>
      <w:r w:rsidR="00A53AFA">
        <w:rPr>
          <w:rFonts w:cs="Calibri"/>
          <w:sz w:val="24"/>
          <w:szCs w:val="24"/>
        </w:rPr>
        <w:t xml:space="preserve">In support of four large fires, the SEAT base delivered </w:t>
      </w:r>
      <w:r w:rsidR="00C438E0">
        <w:rPr>
          <w:rFonts w:cs="Calibri"/>
          <w:sz w:val="24"/>
          <w:szCs w:val="24"/>
        </w:rPr>
        <w:t>5,876</w:t>
      </w:r>
      <w:r w:rsidR="00A53AFA">
        <w:rPr>
          <w:rFonts w:cs="Calibri"/>
          <w:sz w:val="24"/>
          <w:szCs w:val="24"/>
        </w:rPr>
        <w:t xml:space="preserve"> gallons of retardant (at a cost of $</w:t>
      </w:r>
      <w:r w:rsidR="00C438E0">
        <w:rPr>
          <w:rFonts w:cs="Calibri"/>
          <w:sz w:val="24"/>
          <w:szCs w:val="24"/>
        </w:rPr>
        <w:t>16,159</w:t>
      </w:r>
      <w:r w:rsidR="00A53AFA">
        <w:rPr>
          <w:rFonts w:cs="Calibri"/>
          <w:sz w:val="24"/>
          <w:szCs w:val="24"/>
        </w:rPr>
        <w:t xml:space="preserve">) via </w:t>
      </w:r>
      <w:r w:rsidR="00C438E0">
        <w:rPr>
          <w:rFonts w:cs="Calibri"/>
          <w:sz w:val="24"/>
          <w:szCs w:val="24"/>
        </w:rPr>
        <w:t>8</w:t>
      </w:r>
      <w:r w:rsidR="00A53AFA">
        <w:rPr>
          <w:rFonts w:cs="Calibri"/>
          <w:sz w:val="24"/>
          <w:szCs w:val="24"/>
        </w:rPr>
        <w:t xml:space="preserve"> sorties and </w:t>
      </w:r>
      <w:r w:rsidR="00C438E0">
        <w:rPr>
          <w:rFonts w:cs="Calibri"/>
          <w:sz w:val="24"/>
          <w:szCs w:val="24"/>
        </w:rPr>
        <w:t>35.14</w:t>
      </w:r>
      <w:r w:rsidR="00A53AFA">
        <w:rPr>
          <w:rFonts w:cs="Calibri"/>
          <w:sz w:val="24"/>
          <w:szCs w:val="24"/>
        </w:rPr>
        <w:t xml:space="preserve"> flight hours</w:t>
      </w:r>
      <w:r w:rsidR="00D26CC5">
        <w:rPr>
          <w:rFonts w:cs="Calibri"/>
          <w:sz w:val="24"/>
          <w:szCs w:val="24"/>
        </w:rPr>
        <w:t xml:space="preserve"> (at a cost of $</w:t>
      </w:r>
      <w:r w:rsidR="00C438E0">
        <w:rPr>
          <w:rFonts w:cs="Calibri"/>
          <w:sz w:val="24"/>
          <w:szCs w:val="24"/>
        </w:rPr>
        <w:t>78,247</w:t>
      </w:r>
      <w:r w:rsidR="00D26CC5">
        <w:rPr>
          <w:rFonts w:cs="Calibri"/>
          <w:sz w:val="24"/>
          <w:szCs w:val="24"/>
        </w:rPr>
        <w:t>)</w:t>
      </w:r>
      <w:r w:rsidR="00A53AFA">
        <w:rPr>
          <w:rFonts w:cs="Calibri"/>
          <w:sz w:val="24"/>
          <w:szCs w:val="24"/>
        </w:rPr>
        <w:t xml:space="preserve">. </w:t>
      </w:r>
    </w:p>
    <w:p w:rsidR="001848E2" w:rsidRPr="007106B1" w:rsidRDefault="001848E2" w:rsidP="007106B1">
      <w:pPr>
        <w:rPr>
          <w:rFonts w:cs="Calibri"/>
          <w:sz w:val="24"/>
          <w:szCs w:val="24"/>
        </w:rPr>
      </w:pPr>
    </w:p>
    <w:p w:rsidR="00A60D9B" w:rsidRDefault="00A60D9B" w:rsidP="007B5D16">
      <w:pPr>
        <w:jc w:val="center"/>
        <w:rPr>
          <w:rFonts w:cs="Calibri"/>
          <w:b/>
          <w:sz w:val="24"/>
          <w:szCs w:val="24"/>
        </w:rPr>
      </w:pPr>
    </w:p>
    <w:p w:rsidR="00A025D2" w:rsidRDefault="00A025D2" w:rsidP="007B5D16">
      <w:pPr>
        <w:jc w:val="center"/>
        <w:rPr>
          <w:rFonts w:cs="Calibri"/>
          <w:b/>
          <w:sz w:val="24"/>
          <w:szCs w:val="24"/>
        </w:rPr>
      </w:pPr>
    </w:p>
    <w:p w:rsidR="00C438E0" w:rsidRDefault="00C438E0" w:rsidP="007B5D16">
      <w:pPr>
        <w:jc w:val="center"/>
        <w:rPr>
          <w:rFonts w:cs="Calibri"/>
          <w:b/>
          <w:sz w:val="24"/>
          <w:szCs w:val="24"/>
        </w:rPr>
      </w:pPr>
    </w:p>
    <w:p w:rsidR="00C438E0" w:rsidRDefault="00C438E0" w:rsidP="007B5D16">
      <w:pPr>
        <w:jc w:val="center"/>
        <w:rPr>
          <w:rFonts w:cs="Calibri"/>
          <w:b/>
          <w:sz w:val="24"/>
          <w:szCs w:val="24"/>
        </w:rPr>
      </w:pPr>
    </w:p>
    <w:p w:rsidR="00C438E0" w:rsidRDefault="00C438E0" w:rsidP="007B5D16">
      <w:pPr>
        <w:jc w:val="center"/>
        <w:rPr>
          <w:rFonts w:cs="Calibri"/>
          <w:b/>
          <w:sz w:val="24"/>
          <w:szCs w:val="24"/>
        </w:rPr>
      </w:pPr>
    </w:p>
    <w:p w:rsidR="00C438E0" w:rsidRDefault="00C438E0" w:rsidP="007B5D16">
      <w:pPr>
        <w:jc w:val="center"/>
        <w:rPr>
          <w:rFonts w:cs="Calibri"/>
          <w:b/>
          <w:sz w:val="24"/>
          <w:szCs w:val="24"/>
        </w:rPr>
      </w:pPr>
    </w:p>
    <w:p w:rsidR="00C438E0" w:rsidRDefault="00C438E0" w:rsidP="007B5D16">
      <w:pPr>
        <w:jc w:val="center"/>
        <w:rPr>
          <w:rFonts w:cs="Calibri"/>
          <w:b/>
          <w:sz w:val="24"/>
          <w:szCs w:val="24"/>
        </w:rPr>
      </w:pPr>
    </w:p>
    <w:p w:rsidR="00C438E0" w:rsidRDefault="00C438E0" w:rsidP="007B5D16">
      <w:pPr>
        <w:jc w:val="center"/>
        <w:rPr>
          <w:rFonts w:cs="Calibri"/>
          <w:b/>
          <w:sz w:val="24"/>
          <w:szCs w:val="24"/>
        </w:rPr>
      </w:pPr>
    </w:p>
    <w:p w:rsidR="00C438E0" w:rsidRDefault="00C438E0" w:rsidP="007B5D16">
      <w:pPr>
        <w:jc w:val="center"/>
        <w:rPr>
          <w:rFonts w:cs="Calibri"/>
          <w:b/>
          <w:sz w:val="24"/>
          <w:szCs w:val="24"/>
        </w:rPr>
      </w:pPr>
    </w:p>
    <w:p w:rsidR="00C438E0" w:rsidRDefault="00C438E0" w:rsidP="007B5D16">
      <w:pPr>
        <w:jc w:val="center"/>
        <w:rPr>
          <w:rFonts w:cs="Calibri"/>
          <w:b/>
          <w:sz w:val="24"/>
          <w:szCs w:val="24"/>
        </w:rPr>
      </w:pPr>
    </w:p>
    <w:p w:rsidR="00C438E0" w:rsidRDefault="00C438E0" w:rsidP="007B5D16">
      <w:pPr>
        <w:jc w:val="center"/>
        <w:rPr>
          <w:rFonts w:cs="Calibri"/>
          <w:b/>
          <w:sz w:val="24"/>
          <w:szCs w:val="24"/>
        </w:rPr>
      </w:pPr>
    </w:p>
    <w:p w:rsidR="00C438E0" w:rsidRDefault="00C438E0" w:rsidP="007B5D16">
      <w:pPr>
        <w:jc w:val="center"/>
        <w:rPr>
          <w:rFonts w:cs="Calibri"/>
          <w:b/>
          <w:sz w:val="24"/>
          <w:szCs w:val="24"/>
        </w:rPr>
      </w:pPr>
    </w:p>
    <w:p w:rsidR="00C438E0" w:rsidRDefault="00C438E0" w:rsidP="007B5D16">
      <w:pPr>
        <w:jc w:val="center"/>
        <w:rPr>
          <w:rFonts w:cs="Calibri"/>
          <w:b/>
          <w:sz w:val="24"/>
          <w:szCs w:val="24"/>
        </w:rPr>
      </w:pPr>
    </w:p>
    <w:p w:rsidR="009503DF" w:rsidRPr="00EE2A29" w:rsidRDefault="009503DF" w:rsidP="007B5D16">
      <w:pPr>
        <w:jc w:val="center"/>
        <w:rPr>
          <w:rFonts w:cs="Calibri"/>
          <w:b/>
          <w:sz w:val="24"/>
          <w:szCs w:val="24"/>
        </w:rPr>
      </w:pPr>
      <w:r w:rsidRPr="00EE2A29">
        <w:rPr>
          <w:rFonts w:cs="Calibri"/>
          <w:b/>
          <w:sz w:val="24"/>
          <w:szCs w:val="24"/>
        </w:rPr>
        <w:lastRenderedPageBreak/>
        <w:t>WEATHER</w:t>
      </w:r>
    </w:p>
    <w:p w:rsidR="007B5D16" w:rsidRDefault="009503DF" w:rsidP="007B5D16">
      <w:pPr>
        <w:rPr>
          <w:rFonts w:cs="Calibri"/>
          <w:sz w:val="24"/>
          <w:szCs w:val="24"/>
        </w:rPr>
      </w:pPr>
      <w:r w:rsidRPr="00EE2A29">
        <w:rPr>
          <w:rFonts w:cs="Calibri"/>
          <w:sz w:val="24"/>
          <w:szCs w:val="24"/>
        </w:rPr>
        <w:t>In 201</w:t>
      </w:r>
      <w:r w:rsidR="009D6499">
        <w:rPr>
          <w:rFonts w:cs="Calibri"/>
          <w:sz w:val="24"/>
          <w:szCs w:val="24"/>
        </w:rPr>
        <w:t>4</w:t>
      </w:r>
      <w:r w:rsidRPr="00EE2A29">
        <w:rPr>
          <w:rFonts w:cs="Calibri"/>
          <w:sz w:val="24"/>
          <w:szCs w:val="24"/>
        </w:rPr>
        <w:t xml:space="preserve"> there were </w:t>
      </w:r>
      <w:r w:rsidR="0057370C">
        <w:rPr>
          <w:rFonts w:cs="Calibri"/>
          <w:sz w:val="24"/>
          <w:szCs w:val="24"/>
        </w:rPr>
        <w:t>11</w:t>
      </w:r>
      <w:r w:rsidR="00F832A1">
        <w:rPr>
          <w:rFonts w:cs="Calibri"/>
          <w:sz w:val="24"/>
          <w:szCs w:val="24"/>
        </w:rPr>
        <w:t xml:space="preserve"> </w:t>
      </w:r>
      <w:r w:rsidRPr="00EE2A29">
        <w:rPr>
          <w:rFonts w:cs="Calibri"/>
          <w:sz w:val="24"/>
          <w:szCs w:val="24"/>
        </w:rPr>
        <w:t xml:space="preserve">Fire Weather Watch/Warnings </w:t>
      </w:r>
      <w:r w:rsidR="00B5607F">
        <w:rPr>
          <w:rFonts w:cs="Calibri"/>
          <w:sz w:val="24"/>
          <w:szCs w:val="24"/>
        </w:rPr>
        <w:t xml:space="preserve">days issued for zones within RWC. </w:t>
      </w:r>
      <w:r w:rsidR="009D6499">
        <w:rPr>
          <w:rFonts w:cs="Calibri"/>
          <w:sz w:val="24"/>
          <w:szCs w:val="24"/>
        </w:rPr>
        <w:t xml:space="preserve"> </w:t>
      </w:r>
      <w:r w:rsidR="00B5607F">
        <w:rPr>
          <w:rFonts w:cs="Calibri"/>
          <w:sz w:val="24"/>
          <w:szCs w:val="24"/>
        </w:rPr>
        <w:t xml:space="preserve">The first of these was issued </w:t>
      </w:r>
      <w:r w:rsidR="00F832A1">
        <w:rPr>
          <w:rFonts w:cs="Calibri"/>
          <w:sz w:val="24"/>
          <w:szCs w:val="24"/>
        </w:rPr>
        <w:t xml:space="preserve">April </w:t>
      </w:r>
      <w:r w:rsidR="0057370C">
        <w:rPr>
          <w:rFonts w:cs="Calibri"/>
          <w:sz w:val="24"/>
          <w:szCs w:val="24"/>
        </w:rPr>
        <w:t>5</w:t>
      </w:r>
      <w:r w:rsidR="00F832A1" w:rsidRPr="00F832A1">
        <w:rPr>
          <w:rFonts w:cs="Calibri"/>
          <w:sz w:val="24"/>
          <w:szCs w:val="24"/>
          <w:vertAlign w:val="superscript"/>
        </w:rPr>
        <w:t>th</w:t>
      </w:r>
      <w:r w:rsidR="00F832A1">
        <w:rPr>
          <w:rFonts w:cs="Calibri"/>
          <w:sz w:val="24"/>
          <w:szCs w:val="24"/>
        </w:rPr>
        <w:t xml:space="preserve"> </w:t>
      </w:r>
      <w:r w:rsidR="00B5607F">
        <w:rPr>
          <w:rFonts w:cs="Calibri"/>
          <w:sz w:val="24"/>
          <w:szCs w:val="24"/>
        </w:rPr>
        <w:t xml:space="preserve">and the last was issued </w:t>
      </w:r>
      <w:r w:rsidR="0057370C">
        <w:rPr>
          <w:rFonts w:cs="Calibri"/>
          <w:sz w:val="24"/>
          <w:szCs w:val="24"/>
        </w:rPr>
        <w:t>September</w:t>
      </w:r>
      <w:r w:rsidR="00AE2930">
        <w:rPr>
          <w:rFonts w:cs="Calibri"/>
          <w:sz w:val="24"/>
          <w:szCs w:val="24"/>
        </w:rPr>
        <w:t xml:space="preserve"> </w:t>
      </w:r>
      <w:proofErr w:type="gramStart"/>
      <w:r w:rsidR="00AE2930">
        <w:rPr>
          <w:rFonts w:cs="Calibri"/>
          <w:sz w:val="24"/>
          <w:szCs w:val="24"/>
        </w:rPr>
        <w:t>14</w:t>
      </w:r>
      <w:r w:rsidR="00F832A1" w:rsidRPr="00F832A1">
        <w:rPr>
          <w:rFonts w:cs="Calibri"/>
          <w:sz w:val="24"/>
          <w:szCs w:val="24"/>
          <w:vertAlign w:val="superscript"/>
        </w:rPr>
        <w:t>th</w:t>
      </w:r>
      <w:r w:rsidR="00F832A1">
        <w:rPr>
          <w:rFonts w:cs="Calibri"/>
          <w:sz w:val="24"/>
          <w:szCs w:val="24"/>
        </w:rPr>
        <w:t xml:space="preserve"> </w:t>
      </w:r>
      <w:r w:rsidR="009D6499">
        <w:rPr>
          <w:rFonts w:cs="Calibri"/>
          <w:sz w:val="24"/>
          <w:szCs w:val="24"/>
        </w:rPr>
        <w:t>.</w:t>
      </w:r>
      <w:proofErr w:type="gramEnd"/>
    </w:p>
    <w:p w:rsidR="00442BDA" w:rsidRDefault="000A1153" w:rsidP="007B5D16">
      <w:pPr>
        <w:jc w:val="center"/>
        <w:rPr>
          <w:rFonts w:cs="Calibri"/>
          <w:sz w:val="24"/>
          <w:szCs w:val="24"/>
        </w:rPr>
      </w:pPr>
      <w:r>
        <w:rPr>
          <w:noProof/>
        </w:rPr>
        <w:drawing>
          <wp:inline distT="0" distB="0" distL="0" distR="0">
            <wp:extent cx="5124091" cy="3841560"/>
            <wp:effectExtent l="0" t="0" r="635" b="6985"/>
            <wp:docPr id="17" name="Picture 17" descr="Snow Spring Creek R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Spring Creek RAW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23315" cy="3840978"/>
                    </a:xfrm>
                    <a:prstGeom prst="rect">
                      <a:avLst/>
                    </a:prstGeom>
                    <a:noFill/>
                    <a:ln>
                      <a:noFill/>
                    </a:ln>
                  </pic:spPr>
                </pic:pic>
              </a:graphicData>
            </a:graphic>
          </wp:inline>
        </w:drawing>
      </w:r>
    </w:p>
    <w:p w:rsidR="00442BDA" w:rsidRPr="00442BDA" w:rsidRDefault="00442BDA" w:rsidP="007B5D16">
      <w:pPr>
        <w:jc w:val="center"/>
        <w:rPr>
          <w:rFonts w:cs="Calibri"/>
          <w:b/>
          <w:sz w:val="24"/>
          <w:szCs w:val="24"/>
        </w:rPr>
      </w:pPr>
      <w:r w:rsidRPr="00442BDA">
        <w:rPr>
          <w:rFonts w:cs="Calibri"/>
          <w:b/>
          <w:sz w:val="24"/>
          <w:szCs w:val="24"/>
        </w:rPr>
        <w:t>RAWS STATIONS REPORTS</w:t>
      </w:r>
      <w:r w:rsidR="007C2810">
        <w:rPr>
          <w:rFonts w:cs="Calibr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670"/>
        <w:gridCol w:w="642"/>
        <w:gridCol w:w="653"/>
        <w:gridCol w:w="588"/>
        <w:gridCol w:w="852"/>
        <w:gridCol w:w="1187"/>
        <w:gridCol w:w="948"/>
      </w:tblGrid>
      <w:tr w:rsidR="00442BDA" w:rsidRPr="00442BDA" w:rsidTr="00E94EF4">
        <w:trPr>
          <w:trHeight w:val="278"/>
        </w:trPr>
        <w:tc>
          <w:tcPr>
            <w:tcW w:w="2107" w:type="pct"/>
            <w:shd w:val="clear" w:color="auto" w:fill="auto"/>
          </w:tcPr>
          <w:p w:rsidR="00442BDA" w:rsidRPr="00442BDA" w:rsidRDefault="00442BDA" w:rsidP="00442BDA">
            <w:pPr>
              <w:spacing w:after="0"/>
              <w:jc w:val="center"/>
              <w:rPr>
                <w:rFonts w:cs="Calibri"/>
                <w:b/>
                <w:color w:val="943634"/>
                <w:sz w:val="20"/>
                <w:szCs w:val="20"/>
              </w:rPr>
            </w:pPr>
            <w:r w:rsidRPr="00442BDA">
              <w:rPr>
                <w:rFonts w:cs="Calibri"/>
                <w:b/>
                <w:color w:val="943634"/>
                <w:sz w:val="20"/>
                <w:szCs w:val="20"/>
              </w:rPr>
              <w:t>Total Precipitation in Inches</w:t>
            </w:r>
          </w:p>
        </w:tc>
        <w:tc>
          <w:tcPr>
            <w:tcW w:w="350"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April</w:t>
            </w:r>
          </w:p>
        </w:tc>
        <w:tc>
          <w:tcPr>
            <w:tcW w:w="335"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May</w:t>
            </w:r>
          </w:p>
        </w:tc>
        <w:tc>
          <w:tcPr>
            <w:tcW w:w="341"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June</w:t>
            </w:r>
          </w:p>
        </w:tc>
        <w:tc>
          <w:tcPr>
            <w:tcW w:w="307"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July</w:t>
            </w:r>
          </w:p>
        </w:tc>
        <w:tc>
          <w:tcPr>
            <w:tcW w:w="445"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August</w:t>
            </w:r>
          </w:p>
        </w:tc>
        <w:tc>
          <w:tcPr>
            <w:tcW w:w="620"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September</w:t>
            </w:r>
          </w:p>
        </w:tc>
        <w:tc>
          <w:tcPr>
            <w:tcW w:w="495" w:type="pct"/>
            <w:shd w:val="clear" w:color="auto" w:fill="auto"/>
          </w:tcPr>
          <w:p w:rsidR="00442BDA" w:rsidRPr="00442BDA" w:rsidRDefault="009D6499" w:rsidP="00442BDA">
            <w:pPr>
              <w:spacing w:after="0"/>
              <w:jc w:val="center"/>
              <w:rPr>
                <w:rFonts w:cs="Calibri"/>
                <w:b/>
                <w:sz w:val="16"/>
                <w:szCs w:val="16"/>
              </w:rPr>
            </w:pPr>
            <w:r>
              <w:rPr>
                <w:rFonts w:cs="Calibri"/>
                <w:b/>
                <w:sz w:val="16"/>
                <w:szCs w:val="16"/>
              </w:rPr>
              <w:t>Total</w:t>
            </w:r>
          </w:p>
        </w:tc>
      </w:tr>
      <w:tr w:rsidR="00442BDA" w:rsidRPr="00442BDA" w:rsidTr="00E94EF4">
        <w:tc>
          <w:tcPr>
            <w:tcW w:w="2107" w:type="pct"/>
            <w:shd w:val="clear" w:color="auto" w:fill="auto"/>
          </w:tcPr>
          <w:p w:rsidR="00442BDA" w:rsidRPr="00442BDA" w:rsidRDefault="00442BDA" w:rsidP="00442BDA">
            <w:pPr>
              <w:spacing w:after="0"/>
              <w:rPr>
                <w:rFonts w:cs="Calibri"/>
                <w:sz w:val="16"/>
                <w:szCs w:val="16"/>
              </w:rPr>
            </w:pPr>
            <w:r w:rsidRPr="00442BDA">
              <w:rPr>
                <w:rFonts w:cs="Calibri"/>
                <w:b/>
                <w:sz w:val="20"/>
                <w:szCs w:val="20"/>
              </w:rPr>
              <w:t xml:space="preserve">Snow Spring Creek </w:t>
            </w:r>
            <w:r w:rsidRPr="00442BDA">
              <w:rPr>
                <w:rFonts w:cs="Calibri"/>
                <w:b/>
                <w:sz w:val="16"/>
                <w:szCs w:val="16"/>
              </w:rPr>
              <w:t>(Sweetwater County)</w:t>
            </w:r>
            <w:r w:rsidR="009E258F">
              <w:rPr>
                <w:rFonts w:cs="Calibri"/>
                <w:b/>
                <w:sz w:val="16"/>
                <w:szCs w:val="16"/>
              </w:rPr>
              <w:t xml:space="preserve"> 481904</w:t>
            </w:r>
          </w:p>
        </w:tc>
        <w:tc>
          <w:tcPr>
            <w:tcW w:w="350" w:type="pct"/>
            <w:shd w:val="clear" w:color="auto" w:fill="auto"/>
          </w:tcPr>
          <w:p w:rsidR="00442BDA" w:rsidRPr="00442BDA" w:rsidRDefault="009D6499" w:rsidP="009D6499">
            <w:pPr>
              <w:spacing w:after="0"/>
              <w:jc w:val="center"/>
              <w:rPr>
                <w:rFonts w:cs="Calibri"/>
                <w:sz w:val="20"/>
                <w:szCs w:val="20"/>
              </w:rPr>
            </w:pPr>
            <w:r>
              <w:rPr>
                <w:rFonts w:cs="Calibri"/>
                <w:sz w:val="20"/>
                <w:szCs w:val="20"/>
              </w:rPr>
              <w:t>.11</w:t>
            </w:r>
            <w:r w:rsidR="007C2810">
              <w:rPr>
                <w:rFonts w:cs="Calibri"/>
                <w:sz w:val="20"/>
                <w:szCs w:val="20"/>
              </w:rPr>
              <w:t xml:space="preserve"> </w:t>
            </w:r>
          </w:p>
        </w:tc>
        <w:tc>
          <w:tcPr>
            <w:tcW w:w="335" w:type="pct"/>
            <w:shd w:val="clear" w:color="auto" w:fill="auto"/>
          </w:tcPr>
          <w:p w:rsidR="00442BDA" w:rsidRPr="00442BDA" w:rsidRDefault="009D6499" w:rsidP="009D6499">
            <w:pPr>
              <w:spacing w:after="0"/>
              <w:jc w:val="center"/>
              <w:rPr>
                <w:rFonts w:cs="Calibri"/>
                <w:sz w:val="20"/>
                <w:szCs w:val="20"/>
              </w:rPr>
            </w:pPr>
            <w:r>
              <w:rPr>
                <w:rFonts w:cs="Calibri"/>
                <w:sz w:val="20"/>
                <w:szCs w:val="20"/>
              </w:rPr>
              <w:t>.75</w:t>
            </w:r>
            <w:r w:rsidR="007C2810">
              <w:rPr>
                <w:rFonts w:cs="Calibri"/>
                <w:sz w:val="20"/>
                <w:szCs w:val="20"/>
              </w:rPr>
              <w:t xml:space="preserve"> </w:t>
            </w:r>
          </w:p>
        </w:tc>
        <w:tc>
          <w:tcPr>
            <w:tcW w:w="341" w:type="pct"/>
            <w:shd w:val="clear" w:color="auto" w:fill="auto"/>
          </w:tcPr>
          <w:p w:rsidR="00442BDA" w:rsidRDefault="009D6499" w:rsidP="00442BDA">
            <w:pPr>
              <w:spacing w:after="0"/>
              <w:jc w:val="center"/>
              <w:rPr>
                <w:rFonts w:cs="Calibri"/>
                <w:sz w:val="20"/>
                <w:szCs w:val="20"/>
              </w:rPr>
            </w:pPr>
            <w:r>
              <w:rPr>
                <w:rFonts w:cs="Calibri"/>
                <w:sz w:val="20"/>
                <w:szCs w:val="20"/>
              </w:rPr>
              <w:t>.16</w:t>
            </w:r>
          </w:p>
          <w:p w:rsidR="007C2810" w:rsidRPr="00442BDA" w:rsidRDefault="007C2810" w:rsidP="00442BDA">
            <w:pPr>
              <w:spacing w:after="0"/>
              <w:jc w:val="center"/>
              <w:rPr>
                <w:rFonts w:cs="Calibri"/>
                <w:sz w:val="20"/>
                <w:szCs w:val="20"/>
              </w:rPr>
            </w:pPr>
          </w:p>
        </w:tc>
        <w:tc>
          <w:tcPr>
            <w:tcW w:w="307" w:type="pct"/>
            <w:shd w:val="clear" w:color="auto" w:fill="auto"/>
          </w:tcPr>
          <w:p w:rsidR="00442BDA" w:rsidRDefault="009D6499" w:rsidP="00442BDA">
            <w:pPr>
              <w:spacing w:after="0"/>
              <w:jc w:val="center"/>
              <w:rPr>
                <w:rFonts w:cs="Calibri"/>
                <w:sz w:val="20"/>
                <w:szCs w:val="20"/>
              </w:rPr>
            </w:pPr>
            <w:r>
              <w:rPr>
                <w:rFonts w:cs="Calibri"/>
                <w:sz w:val="20"/>
                <w:szCs w:val="20"/>
              </w:rPr>
              <w:t>1.09</w:t>
            </w:r>
          </w:p>
          <w:p w:rsidR="007C2810" w:rsidRPr="00442BDA" w:rsidRDefault="007C2810" w:rsidP="00442BDA">
            <w:pPr>
              <w:spacing w:after="0"/>
              <w:jc w:val="center"/>
              <w:rPr>
                <w:rFonts w:cs="Calibri"/>
                <w:sz w:val="20"/>
                <w:szCs w:val="20"/>
              </w:rPr>
            </w:pPr>
          </w:p>
        </w:tc>
        <w:tc>
          <w:tcPr>
            <w:tcW w:w="445" w:type="pct"/>
            <w:shd w:val="clear" w:color="auto" w:fill="auto"/>
          </w:tcPr>
          <w:p w:rsidR="00442BDA" w:rsidRDefault="009D6499" w:rsidP="00442BDA">
            <w:pPr>
              <w:spacing w:after="0"/>
              <w:jc w:val="center"/>
              <w:rPr>
                <w:rFonts w:cs="Calibri"/>
                <w:sz w:val="20"/>
                <w:szCs w:val="20"/>
              </w:rPr>
            </w:pPr>
            <w:r>
              <w:rPr>
                <w:rFonts w:cs="Calibri"/>
                <w:sz w:val="20"/>
                <w:szCs w:val="20"/>
              </w:rPr>
              <w:t>2.88</w:t>
            </w:r>
          </w:p>
          <w:p w:rsidR="007C2810" w:rsidRPr="00442BDA" w:rsidRDefault="007C2810" w:rsidP="00442BDA">
            <w:pPr>
              <w:spacing w:after="0"/>
              <w:jc w:val="center"/>
              <w:rPr>
                <w:rFonts w:cs="Calibri"/>
                <w:sz w:val="20"/>
                <w:szCs w:val="20"/>
              </w:rPr>
            </w:pPr>
          </w:p>
        </w:tc>
        <w:tc>
          <w:tcPr>
            <w:tcW w:w="620" w:type="pct"/>
            <w:shd w:val="clear" w:color="auto" w:fill="auto"/>
          </w:tcPr>
          <w:p w:rsidR="00442BDA" w:rsidRDefault="009D6499" w:rsidP="00442BDA">
            <w:pPr>
              <w:spacing w:after="0"/>
              <w:jc w:val="center"/>
              <w:rPr>
                <w:rFonts w:cs="Calibri"/>
                <w:sz w:val="20"/>
                <w:szCs w:val="20"/>
              </w:rPr>
            </w:pPr>
            <w:r>
              <w:rPr>
                <w:rFonts w:cs="Calibri"/>
                <w:sz w:val="20"/>
                <w:szCs w:val="20"/>
              </w:rPr>
              <w:t>2.3</w:t>
            </w:r>
          </w:p>
          <w:p w:rsidR="007C2810" w:rsidRPr="00442BDA" w:rsidRDefault="007C2810" w:rsidP="00442BDA">
            <w:pPr>
              <w:spacing w:after="0"/>
              <w:jc w:val="center"/>
              <w:rPr>
                <w:rFonts w:cs="Calibri"/>
                <w:sz w:val="20"/>
                <w:szCs w:val="20"/>
              </w:rPr>
            </w:pPr>
          </w:p>
        </w:tc>
        <w:tc>
          <w:tcPr>
            <w:tcW w:w="495" w:type="pct"/>
            <w:shd w:val="clear" w:color="auto" w:fill="auto"/>
          </w:tcPr>
          <w:p w:rsidR="00442BDA" w:rsidRDefault="009D6499" w:rsidP="00442BDA">
            <w:pPr>
              <w:spacing w:after="0"/>
              <w:jc w:val="center"/>
              <w:rPr>
                <w:rFonts w:cs="Calibri"/>
                <w:sz w:val="20"/>
                <w:szCs w:val="20"/>
              </w:rPr>
            </w:pPr>
            <w:r>
              <w:rPr>
                <w:rFonts w:cs="Calibri"/>
                <w:sz w:val="20"/>
                <w:szCs w:val="20"/>
              </w:rPr>
              <w:t>7.29</w:t>
            </w:r>
          </w:p>
          <w:p w:rsidR="007C2810" w:rsidRPr="00442BDA" w:rsidRDefault="007C2810" w:rsidP="00442BDA">
            <w:pPr>
              <w:spacing w:after="0"/>
              <w:jc w:val="center"/>
              <w:rPr>
                <w:rFonts w:cs="Calibri"/>
                <w:sz w:val="20"/>
                <w:szCs w:val="20"/>
              </w:rPr>
            </w:pPr>
          </w:p>
        </w:tc>
      </w:tr>
      <w:tr w:rsidR="00442BDA" w:rsidRPr="00442BDA" w:rsidTr="00E94EF4">
        <w:tc>
          <w:tcPr>
            <w:tcW w:w="2107" w:type="pct"/>
            <w:shd w:val="clear" w:color="auto" w:fill="auto"/>
          </w:tcPr>
          <w:p w:rsidR="00442BDA" w:rsidRPr="00442BDA" w:rsidRDefault="00442BDA" w:rsidP="00442BDA">
            <w:pPr>
              <w:spacing w:after="0"/>
              <w:jc w:val="both"/>
              <w:rPr>
                <w:rFonts w:cs="Calibri"/>
                <w:b/>
                <w:sz w:val="16"/>
                <w:szCs w:val="16"/>
              </w:rPr>
            </w:pPr>
            <w:r w:rsidRPr="00442BDA">
              <w:rPr>
                <w:rFonts w:cs="Calibri"/>
                <w:b/>
                <w:sz w:val="20"/>
                <w:szCs w:val="20"/>
              </w:rPr>
              <w:t xml:space="preserve">Dodge Creek </w:t>
            </w:r>
            <w:r w:rsidRPr="00442BDA">
              <w:rPr>
                <w:rFonts w:cs="Calibri"/>
                <w:b/>
                <w:sz w:val="16"/>
                <w:szCs w:val="16"/>
              </w:rPr>
              <w:t>(Albany County)</w:t>
            </w:r>
            <w:r w:rsidR="009E258F">
              <w:rPr>
                <w:rFonts w:cs="Calibri"/>
                <w:b/>
                <w:sz w:val="16"/>
                <w:szCs w:val="16"/>
              </w:rPr>
              <w:t xml:space="preserve"> 482106</w:t>
            </w:r>
          </w:p>
        </w:tc>
        <w:tc>
          <w:tcPr>
            <w:tcW w:w="350" w:type="pct"/>
            <w:shd w:val="clear" w:color="auto" w:fill="auto"/>
          </w:tcPr>
          <w:p w:rsidR="00442BDA" w:rsidRDefault="009D6499" w:rsidP="00442BDA">
            <w:pPr>
              <w:spacing w:after="0"/>
              <w:jc w:val="center"/>
              <w:rPr>
                <w:rFonts w:cs="Calibri"/>
                <w:sz w:val="20"/>
                <w:szCs w:val="20"/>
              </w:rPr>
            </w:pPr>
            <w:r>
              <w:rPr>
                <w:rFonts w:cs="Calibri"/>
                <w:sz w:val="20"/>
                <w:szCs w:val="20"/>
              </w:rPr>
              <w:t>.46</w:t>
            </w:r>
          </w:p>
          <w:p w:rsidR="007C2810" w:rsidRPr="00442BDA" w:rsidRDefault="007C2810" w:rsidP="00442BDA">
            <w:pPr>
              <w:spacing w:after="0"/>
              <w:jc w:val="center"/>
              <w:rPr>
                <w:rFonts w:cs="Calibri"/>
                <w:sz w:val="20"/>
                <w:szCs w:val="20"/>
              </w:rPr>
            </w:pPr>
          </w:p>
        </w:tc>
        <w:tc>
          <w:tcPr>
            <w:tcW w:w="335" w:type="pct"/>
            <w:shd w:val="clear" w:color="auto" w:fill="auto"/>
          </w:tcPr>
          <w:p w:rsidR="00442BDA" w:rsidRDefault="009D6499" w:rsidP="00442BDA">
            <w:pPr>
              <w:spacing w:after="0"/>
              <w:jc w:val="center"/>
              <w:rPr>
                <w:rFonts w:cs="Calibri"/>
                <w:sz w:val="20"/>
                <w:szCs w:val="20"/>
              </w:rPr>
            </w:pPr>
            <w:r>
              <w:rPr>
                <w:rFonts w:cs="Calibri"/>
                <w:sz w:val="20"/>
                <w:szCs w:val="20"/>
              </w:rPr>
              <w:t>1.63</w:t>
            </w:r>
          </w:p>
          <w:p w:rsidR="007C2810" w:rsidRPr="00442BDA" w:rsidRDefault="007C2810" w:rsidP="00442BDA">
            <w:pPr>
              <w:spacing w:after="0"/>
              <w:jc w:val="center"/>
              <w:rPr>
                <w:rFonts w:cs="Calibri"/>
                <w:sz w:val="20"/>
                <w:szCs w:val="20"/>
              </w:rPr>
            </w:pPr>
          </w:p>
        </w:tc>
        <w:tc>
          <w:tcPr>
            <w:tcW w:w="341" w:type="pct"/>
            <w:shd w:val="clear" w:color="auto" w:fill="auto"/>
          </w:tcPr>
          <w:p w:rsidR="00442BDA" w:rsidRDefault="009D6499" w:rsidP="00442BDA">
            <w:pPr>
              <w:spacing w:after="0"/>
              <w:jc w:val="center"/>
              <w:rPr>
                <w:rFonts w:cs="Calibri"/>
                <w:sz w:val="20"/>
                <w:szCs w:val="20"/>
              </w:rPr>
            </w:pPr>
            <w:r>
              <w:rPr>
                <w:rFonts w:cs="Calibri"/>
                <w:sz w:val="20"/>
                <w:szCs w:val="20"/>
              </w:rPr>
              <w:t>.9</w:t>
            </w:r>
          </w:p>
          <w:p w:rsidR="007C2810" w:rsidRPr="00442BDA" w:rsidRDefault="007C2810" w:rsidP="00442BDA">
            <w:pPr>
              <w:spacing w:after="0"/>
              <w:jc w:val="center"/>
              <w:rPr>
                <w:rFonts w:cs="Calibri"/>
                <w:sz w:val="20"/>
                <w:szCs w:val="20"/>
              </w:rPr>
            </w:pPr>
          </w:p>
        </w:tc>
        <w:tc>
          <w:tcPr>
            <w:tcW w:w="307" w:type="pct"/>
            <w:shd w:val="clear" w:color="auto" w:fill="auto"/>
          </w:tcPr>
          <w:p w:rsidR="00442BDA" w:rsidRDefault="009D6499" w:rsidP="00442BDA">
            <w:pPr>
              <w:spacing w:after="0"/>
              <w:jc w:val="center"/>
              <w:rPr>
                <w:rFonts w:cs="Calibri"/>
                <w:sz w:val="20"/>
                <w:szCs w:val="20"/>
              </w:rPr>
            </w:pPr>
            <w:r>
              <w:rPr>
                <w:rFonts w:cs="Calibri"/>
                <w:sz w:val="20"/>
                <w:szCs w:val="20"/>
              </w:rPr>
              <w:t>2.06</w:t>
            </w:r>
          </w:p>
          <w:p w:rsidR="007C2810" w:rsidRPr="00442BDA" w:rsidRDefault="007C2810" w:rsidP="00442BDA">
            <w:pPr>
              <w:spacing w:after="0"/>
              <w:jc w:val="center"/>
              <w:rPr>
                <w:rFonts w:cs="Calibri"/>
                <w:sz w:val="20"/>
                <w:szCs w:val="20"/>
              </w:rPr>
            </w:pPr>
          </w:p>
        </w:tc>
        <w:tc>
          <w:tcPr>
            <w:tcW w:w="445" w:type="pct"/>
            <w:shd w:val="clear" w:color="auto" w:fill="auto"/>
          </w:tcPr>
          <w:p w:rsidR="00442BDA" w:rsidRDefault="009D6499" w:rsidP="00442BDA">
            <w:pPr>
              <w:spacing w:after="0"/>
              <w:jc w:val="center"/>
              <w:rPr>
                <w:rFonts w:cs="Calibri"/>
                <w:sz w:val="20"/>
                <w:szCs w:val="20"/>
              </w:rPr>
            </w:pPr>
            <w:r>
              <w:rPr>
                <w:rFonts w:cs="Calibri"/>
                <w:sz w:val="20"/>
                <w:szCs w:val="20"/>
              </w:rPr>
              <w:t>1.41</w:t>
            </w:r>
          </w:p>
          <w:p w:rsidR="007C2810" w:rsidRPr="00442BDA" w:rsidRDefault="007C2810" w:rsidP="00442BDA">
            <w:pPr>
              <w:spacing w:after="0"/>
              <w:jc w:val="center"/>
              <w:rPr>
                <w:rFonts w:cs="Calibri"/>
                <w:sz w:val="20"/>
                <w:szCs w:val="20"/>
              </w:rPr>
            </w:pPr>
          </w:p>
        </w:tc>
        <w:tc>
          <w:tcPr>
            <w:tcW w:w="620" w:type="pct"/>
            <w:shd w:val="clear" w:color="auto" w:fill="auto"/>
          </w:tcPr>
          <w:p w:rsidR="00442BDA" w:rsidRDefault="009D6499" w:rsidP="00442BDA">
            <w:pPr>
              <w:spacing w:after="0"/>
              <w:jc w:val="center"/>
              <w:rPr>
                <w:rFonts w:cs="Calibri"/>
                <w:sz w:val="20"/>
                <w:szCs w:val="20"/>
              </w:rPr>
            </w:pPr>
            <w:r>
              <w:rPr>
                <w:rFonts w:cs="Calibri"/>
                <w:sz w:val="20"/>
                <w:szCs w:val="20"/>
              </w:rPr>
              <w:t>1.99</w:t>
            </w:r>
          </w:p>
          <w:p w:rsidR="007C2810" w:rsidRPr="00442BDA" w:rsidRDefault="007C2810" w:rsidP="00442BDA">
            <w:pPr>
              <w:spacing w:after="0"/>
              <w:jc w:val="center"/>
              <w:rPr>
                <w:rFonts w:cs="Calibri"/>
                <w:sz w:val="20"/>
                <w:szCs w:val="20"/>
              </w:rPr>
            </w:pPr>
          </w:p>
        </w:tc>
        <w:tc>
          <w:tcPr>
            <w:tcW w:w="495" w:type="pct"/>
            <w:shd w:val="clear" w:color="auto" w:fill="auto"/>
          </w:tcPr>
          <w:p w:rsidR="00442BDA" w:rsidRDefault="009D6499" w:rsidP="00442BDA">
            <w:pPr>
              <w:spacing w:after="0"/>
              <w:jc w:val="center"/>
              <w:rPr>
                <w:rFonts w:cs="Calibri"/>
                <w:sz w:val="20"/>
                <w:szCs w:val="20"/>
              </w:rPr>
            </w:pPr>
            <w:r>
              <w:rPr>
                <w:rFonts w:cs="Calibri"/>
                <w:sz w:val="20"/>
                <w:szCs w:val="20"/>
              </w:rPr>
              <w:t>8.45</w:t>
            </w:r>
          </w:p>
          <w:p w:rsidR="007C2810" w:rsidRPr="00442BDA" w:rsidRDefault="007C2810" w:rsidP="00442BDA">
            <w:pPr>
              <w:spacing w:after="0"/>
              <w:jc w:val="center"/>
              <w:rPr>
                <w:rFonts w:cs="Calibri"/>
                <w:sz w:val="20"/>
                <w:szCs w:val="20"/>
              </w:rPr>
            </w:pPr>
          </w:p>
        </w:tc>
      </w:tr>
      <w:tr w:rsidR="00442BDA" w:rsidRPr="00442BDA" w:rsidTr="00E94EF4">
        <w:tc>
          <w:tcPr>
            <w:tcW w:w="2107" w:type="pct"/>
            <w:shd w:val="clear" w:color="auto" w:fill="auto"/>
          </w:tcPr>
          <w:p w:rsidR="00442BDA" w:rsidRPr="00442BDA" w:rsidRDefault="00442BDA" w:rsidP="00442BDA">
            <w:pPr>
              <w:spacing w:after="0"/>
              <w:jc w:val="both"/>
              <w:rPr>
                <w:rFonts w:cs="Calibri"/>
                <w:b/>
                <w:sz w:val="16"/>
                <w:szCs w:val="16"/>
              </w:rPr>
            </w:pPr>
            <w:r w:rsidRPr="00442BDA">
              <w:rPr>
                <w:rFonts w:cs="Calibri"/>
                <w:b/>
                <w:sz w:val="20"/>
                <w:szCs w:val="20"/>
              </w:rPr>
              <w:t xml:space="preserve">Muddy Creek </w:t>
            </w:r>
            <w:r w:rsidRPr="00442BDA">
              <w:rPr>
                <w:rFonts w:cs="Calibri"/>
                <w:b/>
                <w:sz w:val="16"/>
                <w:szCs w:val="16"/>
              </w:rPr>
              <w:t>(Uinta County)</w:t>
            </w:r>
            <w:r w:rsidR="009E258F">
              <w:rPr>
                <w:rFonts w:cs="Calibri"/>
                <w:b/>
                <w:sz w:val="16"/>
                <w:szCs w:val="16"/>
              </w:rPr>
              <w:t xml:space="preserve"> 481801</w:t>
            </w:r>
          </w:p>
        </w:tc>
        <w:tc>
          <w:tcPr>
            <w:tcW w:w="350" w:type="pct"/>
            <w:shd w:val="clear" w:color="auto" w:fill="auto"/>
          </w:tcPr>
          <w:p w:rsidR="00442BDA" w:rsidRDefault="009D6499" w:rsidP="00442BDA">
            <w:pPr>
              <w:spacing w:after="0"/>
              <w:jc w:val="center"/>
              <w:rPr>
                <w:rFonts w:cs="Calibri"/>
                <w:sz w:val="20"/>
                <w:szCs w:val="20"/>
              </w:rPr>
            </w:pPr>
            <w:r>
              <w:rPr>
                <w:rFonts w:cs="Calibri"/>
                <w:sz w:val="20"/>
                <w:szCs w:val="20"/>
              </w:rPr>
              <w:t>.55</w:t>
            </w:r>
          </w:p>
          <w:p w:rsidR="007C2810" w:rsidRPr="00442BDA" w:rsidRDefault="007C2810" w:rsidP="00442BDA">
            <w:pPr>
              <w:spacing w:after="0"/>
              <w:jc w:val="center"/>
              <w:rPr>
                <w:rFonts w:cs="Calibri"/>
                <w:sz w:val="20"/>
                <w:szCs w:val="20"/>
              </w:rPr>
            </w:pPr>
          </w:p>
        </w:tc>
        <w:tc>
          <w:tcPr>
            <w:tcW w:w="335" w:type="pct"/>
            <w:shd w:val="clear" w:color="auto" w:fill="auto"/>
          </w:tcPr>
          <w:p w:rsidR="00442BDA" w:rsidRDefault="009D6499" w:rsidP="00442BDA">
            <w:pPr>
              <w:spacing w:after="0"/>
              <w:jc w:val="center"/>
              <w:rPr>
                <w:rFonts w:cs="Calibri"/>
                <w:sz w:val="20"/>
                <w:szCs w:val="20"/>
              </w:rPr>
            </w:pPr>
            <w:r>
              <w:rPr>
                <w:rFonts w:cs="Calibri"/>
                <w:sz w:val="20"/>
                <w:szCs w:val="20"/>
              </w:rPr>
              <w:t>.78</w:t>
            </w:r>
          </w:p>
          <w:p w:rsidR="007C2810" w:rsidRPr="00442BDA" w:rsidRDefault="007C2810" w:rsidP="00442BDA">
            <w:pPr>
              <w:spacing w:after="0"/>
              <w:jc w:val="center"/>
              <w:rPr>
                <w:rFonts w:cs="Calibri"/>
                <w:sz w:val="20"/>
                <w:szCs w:val="20"/>
              </w:rPr>
            </w:pPr>
          </w:p>
        </w:tc>
        <w:tc>
          <w:tcPr>
            <w:tcW w:w="341" w:type="pct"/>
            <w:shd w:val="clear" w:color="auto" w:fill="auto"/>
          </w:tcPr>
          <w:p w:rsidR="00442BDA" w:rsidRDefault="009D6499" w:rsidP="00442BDA">
            <w:pPr>
              <w:spacing w:after="0"/>
              <w:jc w:val="center"/>
              <w:rPr>
                <w:rFonts w:cs="Calibri"/>
                <w:sz w:val="20"/>
                <w:szCs w:val="20"/>
              </w:rPr>
            </w:pPr>
            <w:r>
              <w:rPr>
                <w:rFonts w:cs="Calibri"/>
                <w:sz w:val="20"/>
                <w:szCs w:val="20"/>
              </w:rPr>
              <w:t>1.04</w:t>
            </w:r>
          </w:p>
          <w:p w:rsidR="007C2810" w:rsidRPr="00442BDA" w:rsidRDefault="007C2810" w:rsidP="00442BDA">
            <w:pPr>
              <w:spacing w:after="0"/>
              <w:jc w:val="center"/>
              <w:rPr>
                <w:rFonts w:cs="Calibri"/>
                <w:sz w:val="20"/>
                <w:szCs w:val="20"/>
              </w:rPr>
            </w:pPr>
          </w:p>
        </w:tc>
        <w:tc>
          <w:tcPr>
            <w:tcW w:w="307" w:type="pct"/>
            <w:shd w:val="clear" w:color="auto" w:fill="auto"/>
          </w:tcPr>
          <w:p w:rsidR="00442BDA" w:rsidRDefault="009D6499" w:rsidP="00442BDA">
            <w:pPr>
              <w:spacing w:after="0"/>
              <w:jc w:val="center"/>
              <w:rPr>
                <w:rFonts w:cs="Calibri"/>
                <w:sz w:val="20"/>
                <w:szCs w:val="20"/>
              </w:rPr>
            </w:pPr>
            <w:r>
              <w:rPr>
                <w:rFonts w:cs="Calibri"/>
                <w:sz w:val="20"/>
                <w:szCs w:val="20"/>
              </w:rPr>
              <w:t>1.17</w:t>
            </w:r>
          </w:p>
          <w:p w:rsidR="007C2810" w:rsidRPr="00442BDA" w:rsidRDefault="007C2810" w:rsidP="00442BDA">
            <w:pPr>
              <w:spacing w:after="0"/>
              <w:jc w:val="center"/>
              <w:rPr>
                <w:rFonts w:cs="Calibri"/>
                <w:sz w:val="20"/>
                <w:szCs w:val="20"/>
              </w:rPr>
            </w:pPr>
          </w:p>
        </w:tc>
        <w:tc>
          <w:tcPr>
            <w:tcW w:w="445" w:type="pct"/>
            <w:shd w:val="clear" w:color="auto" w:fill="auto"/>
          </w:tcPr>
          <w:p w:rsidR="00442BDA" w:rsidRDefault="009D6499" w:rsidP="00442BDA">
            <w:pPr>
              <w:spacing w:after="0"/>
              <w:jc w:val="center"/>
              <w:rPr>
                <w:rFonts w:cs="Calibri"/>
                <w:sz w:val="20"/>
                <w:szCs w:val="20"/>
              </w:rPr>
            </w:pPr>
            <w:r>
              <w:rPr>
                <w:rFonts w:cs="Calibri"/>
                <w:sz w:val="20"/>
                <w:szCs w:val="20"/>
              </w:rPr>
              <w:t>2.06</w:t>
            </w:r>
          </w:p>
          <w:p w:rsidR="00F03F7A" w:rsidRPr="00442BDA" w:rsidRDefault="00F03F7A" w:rsidP="00442BDA">
            <w:pPr>
              <w:spacing w:after="0"/>
              <w:jc w:val="center"/>
              <w:rPr>
                <w:rFonts w:cs="Calibri"/>
                <w:sz w:val="20"/>
                <w:szCs w:val="20"/>
              </w:rPr>
            </w:pPr>
          </w:p>
        </w:tc>
        <w:tc>
          <w:tcPr>
            <w:tcW w:w="620" w:type="pct"/>
            <w:shd w:val="clear" w:color="auto" w:fill="auto"/>
          </w:tcPr>
          <w:p w:rsidR="00442BDA" w:rsidRDefault="009D6499" w:rsidP="00442BDA">
            <w:pPr>
              <w:spacing w:after="0"/>
              <w:jc w:val="center"/>
              <w:rPr>
                <w:rFonts w:cs="Calibri"/>
                <w:sz w:val="20"/>
                <w:szCs w:val="20"/>
              </w:rPr>
            </w:pPr>
            <w:r>
              <w:rPr>
                <w:rFonts w:cs="Calibri"/>
                <w:sz w:val="20"/>
                <w:szCs w:val="20"/>
              </w:rPr>
              <w:t>3.15</w:t>
            </w:r>
          </w:p>
          <w:p w:rsidR="00F03F7A" w:rsidRPr="00442BDA" w:rsidRDefault="00F03F7A" w:rsidP="00442BDA">
            <w:pPr>
              <w:spacing w:after="0"/>
              <w:jc w:val="center"/>
              <w:rPr>
                <w:rFonts w:cs="Calibri"/>
                <w:sz w:val="20"/>
                <w:szCs w:val="20"/>
              </w:rPr>
            </w:pPr>
          </w:p>
        </w:tc>
        <w:tc>
          <w:tcPr>
            <w:tcW w:w="495" w:type="pct"/>
            <w:shd w:val="clear" w:color="auto" w:fill="auto"/>
          </w:tcPr>
          <w:p w:rsidR="00442BDA" w:rsidRDefault="009D6499" w:rsidP="00442BDA">
            <w:pPr>
              <w:spacing w:after="0"/>
              <w:jc w:val="center"/>
              <w:rPr>
                <w:rFonts w:cs="Calibri"/>
                <w:sz w:val="20"/>
                <w:szCs w:val="20"/>
              </w:rPr>
            </w:pPr>
            <w:r>
              <w:rPr>
                <w:rFonts w:cs="Calibri"/>
                <w:sz w:val="20"/>
                <w:szCs w:val="20"/>
              </w:rPr>
              <w:t>8.75</w:t>
            </w:r>
          </w:p>
          <w:p w:rsidR="00F03F7A" w:rsidRPr="00442BDA" w:rsidRDefault="00F03F7A" w:rsidP="00442BDA">
            <w:pPr>
              <w:spacing w:after="0"/>
              <w:jc w:val="center"/>
              <w:rPr>
                <w:rFonts w:cs="Calibri"/>
                <w:sz w:val="20"/>
                <w:szCs w:val="20"/>
              </w:rPr>
            </w:pPr>
          </w:p>
        </w:tc>
      </w:tr>
      <w:tr w:rsidR="00442BDA" w:rsidRPr="00442BDA" w:rsidTr="00E94EF4">
        <w:tc>
          <w:tcPr>
            <w:tcW w:w="2107" w:type="pct"/>
            <w:shd w:val="clear" w:color="auto" w:fill="auto"/>
          </w:tcPr>
          <w:p w:rsidR="00442BDA" w:rsidRPr="00442BDA" w:rsidRDefault="00442BDA" w:rsidP="00442BDA">
            <w:pPr>
              <w:spacing w:after="0"/>
              <w:jc w:val="both"/>
              <w:rPr>
                <w:rFonts w:cs="Calibri"/>
                <w:b/>
                <w:sz w:val="16"/>
                <w:szCs w:val="16"/>
              </w:rPr>
            </w:pPr>
            <w:r w:rsidRPr="00442BDA">
              <w:rPr>
                <w:rFonts w:cs="Calibri"/>
                <w:b/>
                <w:sz w:val="20"/>
                <w:szCs w:val="20"/>
              </w:rPr>
              <w:t xml:space="preserve">Anderson Ridge </w:t>
            </w:r>
            <w:r w:rsidRPr="00442BDA">
              <w:rPr>
                <w:rFonts w:cs="Calibri"/>
                <w:b/>
                <w:sz w:val="16"/>
                <w:szCs w:val="16"/>
              </w:rPr>
              <w:t>(Sublette County)</w:t>
            </w:r>
            <w:r w:rsidR="009E258F">
              <w:rPr>
                <w:rFonts w:cs="Calibri"/>
                <w:b/>
                <w:sz w:val="16"/>
                <w:szCs w:val="16"/>
              </w:rPr>
              <w:t xml:space="preserve"> 481903</w:t>
            </w:r>
          </w:p>
        </w:tc>
        <w:tc>
          <w:tcPr>
            <w:tcW w:w="350" w:type="pct"/>
            <w:shd w:val="clear" w:color="auto" w:fill="auto"/>
          </w:tcPr>
          <w:p w:rsidR="00442BDA" w:rsidRDefault="009D6499" w:rsidP="00442BDA">
            <w:pPr>
              <w:spacing w:after="0"/>
              <w:jc w:val="center"/>
              <w:rPr>
                <w:rFonts w:cs="Calibri"/>
                <w:sz w:val="20"/>
                <w:szCs w:val="20"/>
              </w:rPr>
            </w:pPr>
            <w:r>
              <w:rPr>
                <w:rFonts w:cs="Calibri"/>
                <w:sz w:val="20"/>
                <w:szCs w:val="20"/>
              </w:rPr>
              <w:t>0</w:t>
            </w:r>
          </w:p>
          <w:p w:rsidR="007C2810" w:rsidRPr="00442BDA" w:rsidRDefault="007C2810" w:rsidP="00442BDA">
            <w:pPr>
              <w:spacing w:after="0"/>
              <w:jc w:val="center"/>
              <w:rPr>
                <w:rFonts w:cs="Calibri"/>
                <w:sz w:val="20"/>
                <w:szCs w:val="20"/>
              </w:rPr>
            </w:pPr>
          </w:p>
        </w:tc>
        <w:tc>
          <w:tcPr>
            <w:tcW w:w="335" w:type="pct"/>
            <w:shd w:val="clear" w:color="auto" w:fill="auto"/>
          </w:tcPr>
          <w:p w:rsidR="00442BDA" w:rsidRDefault="009D6499" w:rsidP="00442BDA">
            <w:pPr>
              <w:spacing w:after="0"/>
              <w:jc w:val="center"/>
              <w:rPr>
                <w:rFonts w:cs="Calibri"/>
                <w:sz w:val="20"/>
                <w:szCs w:val="20"/>
              </w:rPr>
            </w:pPr>
            <w:r>
              <w:rPr>
                <w:rFonts w:cs="Calibri"/>
                <w:sz w:val="20"/>
                <w:szCs w:val="20"/>
              </w:rPr>
              <w:t>0</w:t>
            </w:r>
          </w:p>
          <w:p w:rsidR="00F03F7A" w:rsidRPr="00442BDA" w:rsidRDefault="00F03F7A" w:rsidP="00442BDA">
            <w:pPr>
              <w:spacing w:after="0"/>
              <w:jc w:val="center"/>
              <w:rPr>
                <w:rFonts w:cs="Calibri"/>
                <w:sz w:val="20"/>
                <w:szCs w:val="20"/>
              </w:rPr>
            </w:pPr>
          </w:p>
        </w:tc>
        <w:tc>
          <w:tcPr>
            <w:tcW w:w="341" w:type="pct"/>
            <w:shd w:val="clear" w:color="auto" w:fill="auto"/>
          </w:tcPr>
          <w:p w:rsidR="00442BDA" w:rsidRDefault="009D6499" w:rsidP="00442BDA">
            <w:pPr>
              <w:spacing w:after="0"/>
              <w:jc w:val="center"/>
              <w:rPr>
                <w:rFonts w:cs="Calibri"/>
                <w:sz w:val="20"/>
                <w:szCs w:val="20"/>
              </w:rPr>
            </w:pPr>
            <w:r>
              <w:rPr>
                <w:rFonts w:cs="Calibri"/>
                <w:sz w:val="20"/>
                <w:szCs w:val="20"/>
              </w:rPr>
              <w:t>.07</w:t>
            </w:r>
          </w:p>
          <w:p w:rsidR="00F03F7A" w:rsidRPr="00442BDA" w:rsidRDefault="00F03F7A" w:rsidP="00442BDA">
            <w:pPr>
              <w:spacing w:after="0"/>
              <w:jc w:val="center"/>
              <w:rPr>
                <w:rFonts w:cs="Calibri"/>
                <w:sz w:val="20"/>
                <w:szCs w:val="20"/>
              </w:rPr>
            </w:pPr>
          </w:p>
        </w:tc>
        <w:tc>
          <w:tcPr>
            <w:tcW w:w="307" w:type="pct"/>
            <w:shd w:val="clear" w:color="auto" w:fill="auto"/>
          </w:tcPr>
          <w:p w:rsidR="00442BDA" w:rsidRDefault="009D6499" w:rsidP="00442BDA">
            <w:pPr>
              <w:spacing w:after="0"/>
              <w:jc w:val="center"/>
              <w:rPr>
                <w:rFonts w:cs="Calibri"/>
                <w:sz w:val="20"/>
                <w:szCs w:val="20"/>
              </w:rPr>
            </w:pPr>
            <w:r>
              <w:rPr>
                <w:rFonts w:cs="Calibri"/>
                <w:sz w:val="20"/>
                <w:szCs w:val="20"/>
              </w:rPr>
              <w:t>.66</w:t>
            </w:r>
          </w:p>
          <w:p w:rsidR="00F03F7A" w:rsidRPr="00442BDA" w:rsidRDefault="00F03F7A" w:rsidP="00442BDA">
            <w:pPr>
              <w:spacing w:after="0"/>
              <w:jc w:val="center"/>
              <w:rPr>
                <w:rFonts w:cs="Calibri"/>
                <w:sz w:val="20"/>
                <w:szCs w:val="20"/>
              </w:rPr>
            </w:pPr>
          </w:p>
        </w:tc>
        <w:tc>
          <w:tcPr>
            <w:tcW w:w="445" w:type="pct"/>
            <w:shd w:val="clear" w:color="auto" w:fill="auto"/>
          </w:tcPr>
          <w:p w:rsidR="00442BDA" w:rsidRDefault="009D6499" w:rsidP="00442BDA">
            <w:pPr>
              <w:spacing w:after="0"/>
              <w:jc w:val="center"/>
              <w:rPr>
                <w:rFonts w:cs="Calibri"/>
                <w:sz w:val="20"/>
                <w:szCs w:val="20"/>
              </w:rPr>
            </w:pPr>
            <w:r>
              <w:rPr>
                <w:rFonts w:cs="Calibri"/>
                <w:sz w:val="20"/>
                <w:szCs w:val="20"/>
              </w:rPr>
              <w:t>2.08</w:t>
            </w:r>
          </w:p>
          <w:p w:rsidR="00F03F7A" w:rsidRPr="00442BDA" w:rsidRDefault="00F03F7A" w:rsidP="00442BDA">
            <w:pPr>
              <w:spacing w:after="0"/>
              <w:jc w:val="center"/>
              <w:rPr>
                <w:rFonts w:cs="Calibri"/>
                <w:sz w:val="20"/>
                <w:szCs w:val="20"/>
              </w:rPr>
            </w:pPr>
          </w:p>
        </w:tc>
        <w:tc>
          <w:tcPr>
            <w:tcW w:w="620" w:type="pct"/>
            <w:shd w:val="clear" w:color="auto" w:fill="auto"/>
          </w:tcPr>
          <w:p w:rsidR="00442BDA" w:rsidRDefault="009D6499" w:rsidP="00442BDA">
            <w:pPr>
              <w:spacing w:after="0"/>
              <w:jc w:val="center"/>
              <w:rPr>
                <w:rFonts w:cs="Calibri"/>
                <w:sz w:val="20"/>
                <w:szCs w:val="20"/>
              </w:rPr>
            </w:pPr>
            <w:r>
              <w:rPr>
                <w:rFonts w:cs="Calibri"/>
                <w:sz w:val="20"/>
                <w:szCs w:val="20"/>
              </w:rPr>
              <w:t>1.22</w:t>
            </w:r>
          </w:p>
          <w:p w:rsidR="00F03F7A" w:rsidRPr="00442BDA" w:rsidRDefault="00F03F7A" w:rsidP="00442BDA">
            <w:pPr>
              <w:spacing w:after="0"/>
              <w:jc w:val="center"/>
              <w:rPr>
                <w:rFonts w:cs="Calibri"/>
                <w:sz w:val="20"/>
                <w:szCs w:val="20"/>
              </w:rPr>
            </w:pPr>
          </w:p>
        </w:tc>
        <w:tc>
          <w:tcPr>
            <w:tcW w:w="495" w:type="pct"/>
            <w:shd w:val="clear" w:color="auto" w:fill="auto"/>
          </w:tcPr>
          <w:p w:rsidR="00442BDA" w:rsidRDefault="009D6499" w:rsidP="00442BDA">
            <w:pPr>
              <w:spacing w:after="0"/>
              <w:jc w:val="center"/>
              <w:rPr>
                <w:rFonts w:cs="Calibri"/>
                <w:sz w:val="20"/>
                <w:szCs w:val="20"/>
              </w:rPr>
            </w:pPr>
            <w:r>
              <w:rPr>
                <w:rFonts w:cs="Calibri"/>
                <w:sz w:val="20"/>
                <w:szCs w:val="20"/>
              </w:rPr>
              <w:t>4.03</w:t>
            </w:r>
          </w:p>
          <w:p w:rsidR="00F03F7A" w:rsidRPr="00442BDA" w:rsidRDefault="00F03F7A" w:rsidP="00442BDA">
            <w:pPr>
              <w:spacing w:after="0"/>
              <w:jc w:val="center"/>
              <w:rPr>
                <w:rFonts w:cs="Calibri"/>
                <w:sz w:val="20"/>
                <w:szCs w:val="20"/>
              </w:rPr>
            </w:pPr>
          </w:p>
        </w:tc>
      </w:tr>
      <w:tr w:rsidR="00442BDA" w:rsidRPr="00442BDA" w:rsidTr="00E94EF4">
        <w:tc>
          <w:tcPr>
            <w:tcW w:w="2107" w:type="pct"/>
            <w:shd w:val="clear" w:color="auto" w:fill="auto"/>
          </w:tcPr>
          <w:p w:rsidR="00442BDA" w:rsidRPr="00442BDA" w:rsidRDefault="00442BDA" w:rsidP="00442BDA">
            <w:pPr>
              <w:spacing w:after="0"/>
              <w:jc w:val="both"/>
              <w:rPr>
                <w:rFonts w:cs="Calibri"/>
                <w:b/>
                <w:sz w:val="16"/>
                <w:szCs w:val="16"/>
              </w:rPr>
            </w:pPr>
            <w:r w:rsidRPr="00442BDA">
              <w:rPr>
                <w:rFonts w:cs="Calibri"/>
                <w:b/>
                <w:sz w:val="20"/>
                <w:szCs w:val="20"/>
              </w:rPr>
              <w:t xml:space="preserve">Cow Creek </w:t>
            </w:r>
            <w:r w:rsidRPr="00442BDA">
              <w:rPr>
                <w:rFonts w:cs="Calibri"/>
                <w:b/>
                <w:sz w:val="16"/>
                <w:szCs w:val="16"/>
              </w:rPr>
              <w:t>(Carbon County)</w:t>
            </w:r>
            <w:r w:rsidR="009E258F">
              <w:rPr>
                <w:rFonts w:cs="Calibri"/>
                <w:b/>
                <w:sz w:val="16"/>
                <w:szCs w:val="16"/>
              </w:rPr>
              <w:t xml:space="preserve"> 482011</w:t>
            </w:r>
          </w:p>
        </w:tc>
        <w:tc>
          <w:tcPr>
            <w:tcW w:w="350" w:type="pct"/>
            <w:shd w:val="clear" w:color="auto" w:fill="auto"/>
          </w:tcPr>
          <w:p w:rsidR="00F03F7A" w:rsidRDefault="009D6499" w:rsidP="00F03F7A">
            <w:pPr>
              <w:spacing w:after="0"/>
              <w:jc w:val="center"/>
              <w:rPr>
                <w:rFonts w:cs="Calibri"/>
                <w:sz w:val="20"/>
                <w:szCs w:val="20"/>
              </w:rPr>
            </w:pPr>
            <w:r>
              <w:rPr>
                <w:rFonts w:cs="Calibri"/>
                <w:sz w:val="20"/>
                <w:szCs w:val="20"/>
              </w:rPr>
              <w:t>.16</w:t>
            </w:r>
          </w:p>
          <w:p w:rsidR="00F03F7A" w:rsidRPr="00442BDA" w:rsidRDefault="00F03F7A" w:rsidP="00F03F7A">
            <w:pPr>
              <w:spacing w:after="0"/>
              <w:jc w:val="center"/>
              <w:rPr>
                <w:rFonts w:cs="Calibri"/>
                <w:sz w:val="20"/>
                <w:szCs w:val="20"/>
              </w:rPr>
            </w:pPr>
          </w:p>
        </w:tc>
        <w:tc>
          <w:tcPr>
            <w:tcW w:w="335" w:type="pct"/>
            <w:shd w:val="clear" w:color="auto" w:fill="auto"/>
          </w:tcPr>
          <w:p w:rsidR="00442BDA" w:rsidRDefault="009D6499" w:rsidP="00442BDA">
            <w:pPr>
              <w:spacing w:after="0"/>
              <w:jc w:val="center"/>
              <w:rPr>
                <w:rFonts w:cs="Calibri"/>
                <w:sz w:val="20"/>
                <w:szCs w:val="20"/>
              </w:rPr>
            </w:pPr>
            <w:r>
              <w:rPr>
                <w:rFonts w:cs="Calibri"/>
                <w:sz w:val="20"/>
                <w:szCs w:val="20"/>
              </w:rPr>
              <w:t>.43</w:t>
            </w:r>
          </w:p>
          <w:p w:rsidR="00F03F7A" w:rsidRPr="00442BDA" w:rsidRDefault="00F03F7A" w:rsidP="00442BDA">
            <w:pPr>
              <w:spacing w:after="0"/>
              <w:jc w:val="center"/>
              <w:rPr>
                <w:rFonts w:cs="Calibri"/>
                <w:sz w:val="20"/>
                <w:szCs w:val="20"/>
              </w:rPr>
            </w:pPr>
          </w:p>
        </w:tc>
        <w:tc>
          <w:tcPr>
            <w:tcW w:w="341" w:type="pct"/>
            <w:shd w:val="clear" w:color="auto" w:fill="auto"/>
          </w:tcPr>
          <w:p w:rsidR="00442BDA" w:rsidRDefault="009D6499" w:rsidP="00442BDA">
            <w:pPr>
              <w:spacing w:after="0"/>
              <w:jc w:val="center"/>
              <w:rPr>
                <w:rFonts w:cs="Calibri"/>
                <w:sz w:val="20"/>
                <w:szCs w:val="20"/>
              </w:rPr>
            </w:pPr>
            <w:r>
              <w:rPr>
                <w:rFonts w:cs="Calibri"/>
                <w:sz w:val="20"/>
                <w:szCs w:val="20"/>
              </w:rPr>
              <w:t>.4</w:t>
            </w:r>
          </w:p>
          <w:p w:rsidR="00F03F7A" w:rsidRPr="00442BDA" w:rsidRDefault="00F03F7A" w:rsidP="00442BDA">
            <w:pPr>
              <w:spacing w:after="0"/>
              <w:jc w:val="center"/>
              <w:rPr>
                <w:rFonts w:cs="Calibri"/>
                <w:sz w:val="20"/>
                <w:szCs w:val="20"/>
              </w:rPr>
            </w:pPr>
          </w:p>
        </w:tc>
        <w:tc>
          <w:tcPr>
            <w:tcW w:w="307" w:type="pct"/>
            <w:shd w:val="clear" w:color="auto" w:fill="auto"/>
          </w:tcPr>
          <w:p w:rsidR="00442BDA" w:rsidRDefault="009D6499" w:rsidP="00442BDA">
            <w:pPr>
              <w:spacing w:after="0"/>
              <w:jc w:val="center"/>
              <w:rPr>
                <w:rFonts w:cs="Calibri"/>
                <w:sz w:val="20"/>
                <w:szCs w:val="20"/>
              </w:rPr>
            </w:pPr>
            <w:r>
              <w:rPr>
                <w:rFonts w:cs="Calibri"/>
                <w:sz w:val="20"/>
                <w:szCs w:val="20"/>
              </w:rPr>
              <w:t>.37</w:t>
            </w:r>
          </w:p>
          <w:p w:rsidR="00F03F7A" w:rsidRPr="00442BDA" w:rsidRDefault="00F03F7A" w:rsidP="00442BDA">
            <w:pPr>
              <w:spacing w:after="0"/>
              <w:jc w:val="center"/>
              <w:rPr>
                <w:rFonts w:cs="Calibri"/>
                <w:sz w:val="20"/>
                <w:szCs w:val="20"/>
              </w:rPr>
            </w:pPr>
          </w:p>
        </w:tc>
        <w:tc>
          <w:tcPr>
            <w:tcW w:w="445" w:type="pct"/>
            <w:shd w:val="clear" w:color="auto" w:fill="auto"/>
          </w:tcPr>
          <w:p w:rsidR="00442BDA" w:rsidRDefault="009D6499" w:rsidP="00442BDA">
            <w:pPr>
              <w:spacing w:after="0"/>
              <w:jc w:val="center"/>
              <w:rPr>
                <w:rFonts w:cs="Calibri"/>
                <w:sz w:val="20"/>
                <w:szCs w:val="20"/>
              </w:rPr>
            </w:pPr>
            <w:r>
              <w:rPr>
                <w:rFonts w:cs="Calibri"/>
                <w:sz w:val="20"/>
                <w:szCs w:val="20"/>
              </w:rPr>
              <w:t>3.71</w:t>
            </w:r>
          </w:p>
          <w:p w:rsidR="00F03F7A" w:rsidRPr="00442BDA" w:rsidRDefault="00F03F7A" w:rsidP="00442BDA">
            <w:pPr>
              <w:spacing w:after="0"/>
              <w:jc w:val="center"/>
              <w:rPr>
                <w:rFonts w:cs="Calibri"/>
                <w:sz w:val="20"/>
                <w:szCs w:val="20"/>
              </w:rPr>
            </w:pPr>
          </w:p>
        </w:tc>
        <w:tc>
          <w:tcPr>
            <w:tcW w:w="620" w:type="pct"/>
            <w:shd w:val="clear" w:color="auto" w:fill="auto"/>
          </w:tcPr>
          <w:p w:rsidR="00442BDA" w:rsidRDefault="009D6499" w:rsidP="00442BDA">
            <w:pPr>
              <w:spacing w:after="0"/>
              <w:jc w:val="center"/>
              <w:rPr>
                <w:rFonts w:cs="Calibri"/>
                <w:sz w:val="20"/>
                <w:szCs w:val="20"/>
              </w:rPr>
            </w:pPr>
            <w:r>
              <w:rPr>
                <w:rFonts w:cs="Calibri"/>
                <w:sz w:val="20"/>
                <w:szCs w:val="20"/>
              </w:rPr>
              <w:t>1.34</w:t>
            </w:r>
          </w:p>
          <w:p w:rsidR="00F03F7A" w:rsidRPr="00442BDA" w:rsidRDefault="00F03F7A" w:rsidP="00442BDA">
            <w:pPr>
              <w:spacing w:after="0"/>
              <w:jc w:val="center"/>
              <w:rPr>
                <w:rFonts w:cs="Calibri"/>
                <w:sz w:val="20"/>
                <w:szCs w:val="20"/>
              </w:rPr>
            </w:pPr>
          </w:p>
        </w:tc>
        <w:tc>
          <w:tcPr>
            <w:tcW w:w="495" w:type="pct"/>
            <w:shd w:val="clear" w:color="auto" w:fill="auto"/>
          </w:tcPr>
          <w:p w:rsidR="00442BDA" w:rsidRDefault="009D6499" w:rsidP="00442BDA">
            <w:pPr>
              <w:spacing w:after="0"/>
              <w:jc w:val="center"/>
              <w:rPr>
                <w:rFonts w:cs="Calibri"/>
                <w:sz w:val="20"/>
                <w:szCs w:val="20"/>
              </w:rPr>
            </w:pPr>
            <w:r>
              <w:rPr>
                <w:rFonts w:cs="Calibri"/>
                <w:sz w:val="20"/>
                <w:szCs w:val="20"/>
              </w:rPr>
              <w:t>6.41</w:t>
            </w:r>
          </w:p>
          <w:p w:rsidR="00F03F7A" w:rsidRPr="00442BDA" w:rsidRDefault="00F03F7A" w:rsidP="00442BDA">
            <w:pPr>
              <w:spacing w:after="0"/>
              <w:jc w:val="center"/>
              <w:rPr>
                <w:rFonts w:cs="Calibri"/>
                <w:sz w:val="20"/>
                <w:szCs w:val="20"/>
              </w:rPr>
            </w:pPr>
          </w:p>
        </w:tc>
      </w:tr>
    </w:tbl>
    <w:p w:rsidR="00442BDA" w:rsidRDefault="00442BDA" w:rsidP="007B5D16">
      <w:pPr>
        <w:jc w:val="center"/>
        <w:rPr>
          <w:rFonts w:cs="Calibri"/>
          <w:sz w:val="24"/>
          <w:szCs w:val="24"/>
        </w:rPr>
      </w:pPr>
    </w:p>
    <w:sectPr w:rsidR="00442BD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54" w:rsidRDefault="00277354" w:rsidP="00593E81">
      <w:pPr>
        <w:spacing w:after="0" w:line="240" w:lineRule="auto"/>
      </w:pPr>
      <w:r>
        <w:separator/>
      </w:r>
    </w:p>
  </w:endnote>
  <w:endnote w:type="continuationSeparator" w:id="0">
    <w:p w:rsidR="00277354" w:rsidRDefault="00277354" w:rsidP="0059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54" w:rsidRDefault="00277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54" w:rsidRDefault="00277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54" w:rsidRDefault="00277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54" w:rsidRDefault="00277354" w:rsidP="00593E81">
      <w:pPr>
        <w:spacing w:after="0" w:line="240" w:lineRule="auto"/>
      </w:pPr>
      <w:r>
        <w:separator/>
      </w:r>
    </w:p>
  </w:footnote>
  <w:footnote w:type="continuationSeparator" w:id="0">
    <w:p w:rsidR="00277354" w:rsidRDefault="00277354" w:rsidP="00593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54" w:rsidRDefault="00277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54" w:rsidRDefault="00277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54" w:rsidRDefault="00277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5AB"/>
    <w:multiLevelType w:val="hybridMultilevel"/>
    <w:tmpl w:val="0B0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DisplayPageBoundarie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98"/>
    <w:rsid w:val="000008E6"/>
    <w:rsid w:val="000031CB"/>
    <w:rsid w:val="00021A84"/>
    <w:rsid w:val="000369F2"/>
    <w:rsid w:val="000379C9"/>
    <w:rsid w:val="00053292"/>
    <w:rsid w:val="00055057"/>
    <w:rsid w:val="000665FA"/>
    <w:rsid w:val="0006739E"/>
    <w:rsid w:val="00071F77"/>
    <w:rsid w:val="00085D7D"/>
    <w:rsid w:val="000A1153"/>
    <w:rsid w:val="000A1A18"/>
    <w:rsid w:val="000A3BF7"/>
    <w:rsid w:val="000C34D3"/>
    <w:rsid w:val="000C36B1"/>
    <w:rsid w:val="000C3B5A"/>
    <w:rsid w:val="000D31DA"/>
    <w:rsid w:val="000E19AC"/>
    <w:rsid w:val="000F572E"/>
    <w:rsid w:val="000F5FA5"/>
    <w:rsid w:val="000F7F66"/>
    <w:rsid w:val="00100955"/>
    <w:rsid w:val="00111805"/>
    <w:rsid w:val="001142AB"/>
    <w:rsid w:val="00117EF8"/>
    <w:rsid w:val="00121761"/>
    <w:rsid w:val="0012200B"/>
    <w:rsid w:val="001257EC"/>
    <w:rsid w:val="00134D63"/>
    <w:rsid w:val="00136D79"/>
    <w:rsid w:val="00146BA3"/>
    <w:rsid w:val="0015179F"/>
    <w:rsid w:val="00151E1C"/>
    <w:rsid w:val="00153B44"/>
    <w:rsid w:val="0017592F"/>
    <w:rsid w:val="001848E2"/>
    <w:rsid w:val="00193FD0"/>
    <w:rsid w:val="0019490B"/>
    <w:rsid w:val="001B6FC3"/>
    <w:rsid w:val="001C5AB2"/>
    <w:rsid w:val="001E3520"/>
    <w:rsid w:val="001F5746"/>
    <w:rsid w:val="0021461B"/>
    <w:rsid w:val="00214E16"/>
    <w:rsid w:val="00215663"/>
    <w:rsid w:val="002251E8"/>
    <w:rsid w:val="00230151"/>
    <w:rsid w:val="00234E72"/>
    <w:rsid w:val="002361EF"/>
    <w:rsid w:val="00254140"/>
    <w:rsid w:val="002563F1"/>
    <w:rsid w:val="002569A2"/>
    <w:rsid w:val="00265B51"/>
    <w:rsid w:val="002760BF"/>
    <w:rsid w:val="00277354"/>
    <w:rsid w:val="00281D29"/>
    <w:rsid w:val="002E6AAD"/>
    <w:rsid w:val="003072C9"/>
    <w:rsid w:val="00314BD4"/>
    <w:rsid w:val="00316F36"/>
    <w:rsid w:val="00317F31"/>
    <w:rsid w:val="00337A6F"/>
    <w:rsid w:val="00343316"/>
    <w:rsid w:val="003469CF"/>
    <w:rsid w:val="00352D01"/>
    <w:rsid w:val="00362BEF"/>
    <w:rsid w:val="003853D8"/>
    <w:rsid w:val="003917AB"/>
    <w:rsid w:val="003A2DFF"/>
    <w:rsid w:val="003C3C73"/>
    <w:rsid w:val="003C7E12"/>
    <w:rsid w:val="003F5E5D"/>
    <w:rsid w:val="00404030"/>
    <w:rsid w:val="00410BFC"/>
    <w:rsid w:val="00411AEB"/>
    <w:rsid w:val="00425E48"/>
    <w:rsid w:val="0044032B"/>
    <w:rsid w:val="00442BDA"/>
    <w:rsid w:val="0044416A"/>
    <w:rsid w:val="00461CE0"/>
    <w:rsid w:val="00463DA1"/>
    <w:rsid w:val="00473DF6"/>
    <w:rsid w:val="00476D40"/>
    <w:rsid w:val="004A518F"/>
    <w:rsid w:val="004C3FD1"/>
    <w:rsid w:val="004C5DB8"/>
    <w:rsid w:val="004E76C5"/>
    <w:rsid w:val="004F2739"/>
    <w:rsid w:val="004F2D86"/>
    <w:rsid w:val="004F6F10"/>
    <w:rsid w:val="004F7C7D"/>
    <w:rsid w:val="00501C9D"/>
    <w:rsid w:val="0052691F"/>
    <w:rsid w:val="00535304"/>
    <w:rsid w:val="0055557C"/>
    <w:rsid w:val="00561109"/>
    <w:rsid w:val="005645EA"/>
    <w:rsid w:val="0057370C"/>
    <w:rsid w:val="005902E5"/>
    <w:rsid w:val="00593E81"/>
    <w:rsid w:val="005A2C24"/>
    <w:rsid w:val="005D3A66"/>
    <w:rsid w:val="005E1A12"/>
    <w:rsid w:val="005E488E"/>
    <w:rsid w:val="005F2542"/>
    <w:rsid w:val="006012F1"/>
    <w:rsid w:val="0060667A"/>
    <w:rsid w:val="00631375"/>
    <w:rsid w:val="00651F45"/>
    <w:rsid w:val="0065212A"/>
    <w:rsid w:val="006527C9"/>
    <w:rsid w:val="006646BD"/>
    <w:rsid w:val="00670A15"/>
    <w:rsid w:val="00693DC5"/>
    <w:rsid w:val="006C24B1"/>
    <w:rsid w:val="006D596D"/>
    <w:rsid w:val="006E0168"/>
    <w:rsid w:val="006E2F58"/>
    <w:rsid w:val="006E6555"/>
    <w:rsid w:val="006F056A"/>
    <w:rsid w:val="006F68AC"/>
    <w:rsid w:val="007106B1"/>
    <w:rsid w:val="00720046"/>
    <w:rsid w:val="00722EBF"/>
    <w:rsid w:val="0072666D"/>
    <w:rsid w:val="00727F88"/>
    <w:rsid w:val="00733EDF"/>
    <w:rsid w:val="00740D1D"/>
    <w:rsid w:val="00743B30"/>
    <w:rsid w:val="00743DF6"/>
    <w:rsid w:val="00780248"/>
    <w:rsid w:val="00787B6F"/>
    <w:rsid w:val="007B0F27"/>
    <w:rsid w:val="007B492B"/>
    <w:rsid w:val="007B5D16"/>
    <w:rsid w:val="007C2810"/>
    <w:rsid w:val="007C51A7"/>
    <w:rsid w:val="007F200A"/>
    <w:rsid w:val="007F5B4B"/>
    <w:rsid w:val="00801E34"/>
    <w:rsid w:val="008022EF"/>
    <w:rsid w:val="0080700A"/>
    <w:rsid w:val="00822B9B"/>
    <w:rsid w:val="0082634D"/>
    <w:rsid w:val="0084066E"/>
    <w:rsid w:val="00843DF3"/>
    <w:rsid w:val="008546DA"/>
    <w:rsid w:val="00855285"/>
    <w:rsid w:val="00857893"/>
    <w:rsid w:val="00872030"/>
    <w:rsid w:val="008936B7"/>
    <w:rsid w:val="008A24BC"/>
    <w:rsid w:val="008B0B24"/>
    <w:rsid w:val="008C2D85"/>
    <w:rsid w:val="008C5455"/>
    <w:rsid w:val="008E3D11"/>
    <w:rsid w:val="008E5C7A"/>
    <w:rsid w:val="0092281F"/>
    <w:rsid w:val="0092524B"/>
    <w:rsid w:val="00930D8B"/>
    <w:rsid w:val="00945999"/>
    <w:rsid w:val="009503DF"/>
    <w:rsid w:val="00957F4C"/>
    <w:rsid w:val="0097054A"/>
    <w:rsid w:val="009771E2"/>
    <w:rsid w:val="009772A8"/>
    <w:rsid w:val="00981E68"/>
    <w:rsid w:val="00984BBA"/>
    <w:rsid w:val="009856DE"/>
    <w:rsid w:val="009978AE"/>
    <w:rsid w:val="009C76B5"/>
    <w:rsid w:val="009D5A58"/>
    <w:rsid w:val="009D6499"/>
    <w:rsid w:val="009E258F"/>
    <w:rsid w:val="009E327F"/>
    <w:rsid w:val="009F3061"/>
    <w:rsid w:val="00A025D2"/>
    <w:rsid w:val="00A06F89"/>
    <w:rsid w:val="00A15D6C"/>
    <w:rsid w:val="00A2416C"/>
    <w:rsid w:val="00A24AA2"/>
    <w:rsid w:val="00A32834"/>
    <w:rsid w:val="00A335BA"/>
    <w:rsid w:val="00A336A3"/>
    <w:rsid w:val="00A53AFA"/>
    <w:rsid w:val="00A60D9B"/>
    <w:rsid w:val="00A728A0"/>
    <w:rsid w:val="00A768B8"/>
    <w:rsid w:val="00A8181A"/>
    <w:rsid w:val="00A8324C"/>
    <w:rsid w:val="00A9726C"/>
    <w:rsid w:val="00AA2BB7"/>
    <w:rsid w:val="00AC3686"/>
    <w:rsid w:val="00AE05FD"/>
    <w:rsid w:val="00AE2930"/>
    <w:rsid w:val="00AE42A8"/>
    <w:rsid w:val="00AE4D43"/>
    <w:rsid w:val="00B0188A"/>
    <w:rsid w:val="00B03381"/>
    <w:rsid w:val="00B04DAD"/>
    <w:rsid w:val="00B110D5"/>
    <w:rsid w:val="00B364D6"/>
    <w:rsid w:val="00B53152"/>
    <w:rsid w:val="00B53E98"/>
    <w:rsid w:val="00B555A6"/>
    <w:rsid w:val="00B5607F"/>
    <w:rsid w:val="00B627E0"/>
    <w:rsid w:val="00B75531"/>
    <w:rsid w:val="00B937CA"/>
    <w:rsid w:val="00BB58B3"/>
    <w:rsid w:val="00BC20B2"/>
    <w:rsid w:val="00BD0743"/>
    <w:rsid w:val="00BF1BBA"/>
    <w:rsid w:val="00C00627"/>
    <w:rsid w:val="00C13786"/>
    <w:rsid w:val="00C438E0"/>
    <w:rsid w:val="00C536E2"/>
    <w:rsid w:val="00C55932"/>
    <w:rsid w:val="00C635ED"/>
    <w:rsid w:val="00C9698F"/>
    <w:rsid w:val="00CA0C4B"/>
    <w:rsid w:val="00CA4D99"/>
    <w:rsid w:val="00CD1F5A"/>
    <w:rsid w:val="00CE732A"/>
    <w:rsid w:val="00CF79BA"/>
    <w:rsid w:val="00D07CD0"/>
    <w:rsid w:val="00D16265"/>
    <w:rsid w:val="00D212EB"/>
    <w:rsid w:val="00D26CC5"/>
    <w:rsid w:val="00D43116"/>
    <w:rsid w:val="00D50CDD"/>
    <w:rsid w:val="00D55C32"/>
    <w:rsid w:val="00D7634C"/>
    <w:rsid w:val="00D83E3C"/>
    <w:rsid w:val="00D92D1E"/>
    <w:rsid w:val="00D94460"/>
    <w:rsid w:val="00D96DAC"/>
    <w:rsid w:val="00DA2CBC"/>
    <w:rsid w:val="00DB743D"/>
    <w:rsid w:val="00DC5512"/>
    <w:rsid w:val="00DC73C7"/>
    <w:rsid w:val="00DD2DBB"/>
    <w:rsid w:val="00DE1BE5"/>
    <w:rsid w:val="00DE7DC4"/>
    <w:rsid w:val="00E019AF"/>
    <w:rsid w:val="00E02EF5"/>
    <w:rsid w:val="00E214D7"/>
    <w:rsid w:val="00E31733"/>
    <w:rsid w:val="00E44464"/>
    <w:rsid w:val="00E54B26"/>
    <w:rsid w:val="00E816F8"/>
    <w:rsid w:val="00E857AB"/>
    <w:rsid w:val="00E94EF4"/>
    <w:rsid w:val="00EA19C3"/>
    <w:rsid w:val="00EB7DF9"/>
    <w:rsid w:val="00EE0A5B"/>
    <w:rsid w:val="00EE2A29"/>
    <w:rsid w:val="00EF3710"/>
    <w:rsid w:val="00F03F7A"/>
    <w:rsid w:val="00F103BB"/>
    <w:rsid w:val="00F15218"/>
    <w:rsid w:val="00F27598"/>
    <w:rsid w:val="00F45CA9"/>
    <w:rsid w:val="00F832A1"/>
    <w:rsid w:val="00F8547F"/>
    <w:rsid w:val="00F93098"/>
    <w:rsid w:val="00FC6C96"/>
    <w:rsid w:val="00FE1F83"/>
    <w:rsid w:val="00FF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1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51A7"/>
    <w:rPr>
      <w:rFonts w:ascii="Tahoma" w:hAnsi="Tahoma" w:cs="Tahoma"/>
      <w:sz w:val="16"/>
      <w:szCs w:val="16"/>
    </w:rPr>
  </w:style>
  <w:style w:type="paragraph" w:styleId="ListParagraph">
    <w:name w:val="List Paragraph"/>
    <w:basedOn w:val="Normal"/>
    <w:uiPriority w:val="34"/>
    <w:qFormat/>
    <w:rsid w:val="00787B6F"/>
    <w:pPr>
      <w:ind w:left="720"/>
      <w:contextualSpacing/>
    </w:pPr>
  </w:style>
  <w:style w:type="table" w:styleId="LightShading">
    <w:name w:val="Light Shading"/>
    <w:basedOn w:val="TableNormal"/>
    <w:uiPriority w:val="60"/>
    <w:rsid w:val="008406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9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E81"/>
    <w:rPr>
      <w:sz w:val="22"/>
      <w:szCs w:val="22"/>
    </w:rPr>
  </w:style>
  <w:style w:type="paragraph" w:styleId="Footer">
    <w:name w:val="footer"/>
    <w:basedOn w:val="Normal"/>
    <w:link w:val="FooterChar"/>
    <w:uiPriority w:val="99"/>
    <w:unhideWhenUsed/>
    <w:rsid w:val="0059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E81"/>
    <w:rPr>
      <w:sz w:val="22"/>
      <w:szCs w:val="22"/>
    </w:rPr>
  </w:style>
  <w:style w:type="paragraph" w:styleId="Caption">
    <w:name w:val="caption"/>
    <w:basedOn w:val="Normal"/>
    <w:next w:val="Normal"/>
    <w:uiPriority w:val="35"/>
    <w:unhideWhenUsed/>
    <w:qFormat/>
    <w:rsid w:val="005E1A1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1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51A7"/>
    <w:rPr>
      <w:rFonts w:ascii="Tahoma" w:hAnsi="Tahoma" w:cs="Tahoma"/>
      <w:sz w:val="16"/>
      <w:szCs w:val="16"/>
    </w:rPr>
  </w:style>
  <w:style w:type="paragraph" w:styleId="ListParagraph">
    <w:name w:val="List Paragraph"/>
    <w:basedOn w:val="Normal"/>
    <w:uiPriority w:val="34"/>
    <w:qFormat/>
    <w:rsid w:val="00787B6F"/>
    <w:pPr>
      <w:ind w:left="720"/>
      <w:contextualSpacing/>
    </w:pPr>
  </w:style>
  <w:style w:type="table" w:styleId="LightShading">
    <w:name w:val="Light Shading"/>
    <w:basedOn w:val="TableNormal"/>
    <w:uiPriority w:val="60"/>
    <w:rsid w:val="008406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9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E81"/>
    <w:rPr>
      <w:sz w:val="22"/>
      <w:szCs w:val="22"/>
    </w:rPr>
  </w:style>
  <w:style w:type="paragraph" w:styleId="Footer">
    <w:name w:val="footer"/>
    <w:basedOn w:val="Normal"/>
    <w:link w:val="FooterChar"/>
    <w:uiPriority w:val="99"/>
    <w:unhideWhenUsed/>
    <w:rsid w:val="0059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E81"/>
    <w:rPr>
      <w:sz w:val="22"/>
      <w:szCs w:val="22"/>
    </w:rPr>
  </w:style>
  <w:style w:type="paragraph" w:styleId="Caption">
    <w:name w:val="caption"/>
    <w:basedOn w:val="Normal"/>
    <w:next w:val="Normal"/>
    <w:uiPriority w:val="35"/>
    <w:unhideWhenUsed/>
    <w:qFormat/>
    <w:rsid w:val="005E1A1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12905">
      <w:bodyDiv w:val="1"/>
      <w:marLeft w:val="0"/>
      <w:marRight w:val="0"/>
      <w:marTop w:val="0"/>
      <w:marBottom w:val="0"/>
      <w:divBdr>
        <w:top w:val="none" w:sz="0" w:space="0" w:color="auto"/>
        <w:left w:val="none" w:sz="0" w:space="0" w:color="auto"/>
        <w:bottom w:val="none" w:sz="0" w:space="0" w:color="auto"/>
        <w:right w:val="none" w:sz="0" w:space="0" w:color="auto"/>
      </w:divBdr>
    </w:div>
    <w:div w:id="1621301919">
      <w:bodyDiv w:val="1"/>
      <w:marLeft w:val="0"/>
      <w:marRight w:val="0"/>
      <w:marTop w:val="0"/>
      <w:marBottom w:val="0"/>
      <w:divBdr>
        <w:top w:val="none" w:sz="0" w:space="0" w:color="auto"/>
        <w:left w:val="none" w:sz="0" w:space="0" w:color="auto"/>
        <w:bottom w:val="none" w:sz="0" w:space="0" w:color="auto"/>
        <w:right w:val="none" w:sz="0" w:space="0" w:color="auto"/>
      </w:divBdr>
    </w:div>
    <w:div w:id="1651598207">
      <w:bodyDiv w:val="1"/>
      <w:marLeft w:val="0"/>
      <w:marRight w:val="0"/>
      <w:marTop w:val="0"/>
      <w:marBottom w:val="0"/>
      <w:divBdr>
        <w:top w:val="none" w:sz="0" w:space="0" w:color="auto"/>
        <w:left w:val="none" w:sz="0" w:space="0" w:color="auto"/>
        <w:bottom w:val="none" w:sz="0" w:space="0" w:color="auto"/>
        <w:right w:val="none" w:sz="0" w:space="0" w:color="auto"/>
      </w:divBdr>
    </w:div>
    <w:div w:id="19723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5.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400" b="0"/>
              <a:t>NUMBER</a:t>
            </a:r>
            <a:r>
              <a:rPr lang="en-US" sz="1400" b="0" baseline="0"/>
              <a:t> OF FIRES</a:t>
            </a:r>
            <a:endParaRPr lang="en-US" sz="1400" b="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DATA!$B$41</c:f>
              <c:strCache>
                <c:ptCount val="1"/>
                <c:pt idx="0">
                  <c:v>Human</c:v>
                </c:pt>
              </c:strCache>
            </c:strRef>
          </c:tx>
          <c:invertIfNegative val="0"/>
          <c:cat>
            <c:strRef>
              <c:f>DATA!$A$42:$A$48</c:f>
              <c:strCache>
                <c:ptCount val="7"/>
                <c:pt idx="0">
                  <c:v>2009</c:v>
                </c:pt>
                <c:pt idx="1">
                  <c:v>2010</c:v>
                </c:pt>
                <c:pt idx="2">
                  <c:v>2011</c:v>
                </c:pt>
                <c:pt idx="3">
                  <c:v>2012</c:v>
                </c:pt>
                <c:pt idx="4">
                  <c:v>2013</c:v>
                </c:pt>
                <c:pt idx="5">
                  <c:v>2014</c:v>
                </c:pt>
                <c:pt idx="6">
                  <c:v>AVERAGE</c:v>
                </c:pt>
              </c:strCache>
            </c:strRef>
          </c:cat>
          <c:val>
            <c:numRef>
              <c:f>DATA!$B$42:$B$48</c:f>
              <c:numCache>
                <c:formatCode>General</c:formatCode>
                <c:ptCount val="7"/>
                <c:pt idx="0">
                  <c:v>19</c:v>
                </c:pt>
                <c:pt idx="1">
                  <c:v>60</c:v>
                </c:pt>
                <c:pt idx="2">
                  <c:v>77</c:v>
                </c:pt>
                <c:pt idx="3">
                  <c:v>85</c:v>
                </c:pt>
                <c:pt idx="4">
                  <c:v>38</c:v>
                </c:pt>
                <c:pt idx="5">
                  <c:v>39</c:v>
                </c:pt>
                <c:pt idx="6" formatCode="0">
                  <c:v>53</c:v>
                </c:pt>
              </c:numCache>
            </c:numRef>
          </c:val>
        </c:ser>
        <c:ser>
          <c:idx val="1"/>
          <c:order val="1"/>
          <c:tx>
            <c:strRef>
              <c:f>DATA!$C$41</c:f>
              <c:strCache>
                <c:ptCount val="1"/>
                <c:pt idx="0">
                  <c:v>Lightning</c:v>
                </c:pt>
              </c:strCache>
            </c:strRef>
          </c:tx>
          <c:invertIfNegative val="0"/>
          <c:cat>
            <c:strRef>
              <c:f>DATA!$A$42:$A$48</c:f>
              <c:strCache>
                <c:ptCount val="7"/>
                <c:pt idx="0">
                  <c:v>2009</c:v>
                </c:pt>
                <c:pt idx="1">
                  <c:v>2010</c:v>
                </c:pt>
                <c:pt idx="2">
                  <c:v>2011</c:v>
                </c:pt>
                <c:pt idx="3">
                  <c:v>2012</c:v>
                </c:pt>
                <c:pt idx="4">
                  <c:v>2013</c:v>
                </c:pt>
                <c:pt idx="5">
                  <c:v>2014</c:v>
                </c:pt>
                <c:pt idx="6">
                  <c:v>AVERAGE</c:v>
                </c:pt>
              </c:strCache>
            </c:strRef>
          </c:cat>
          <c:val>
            <c:numRef>
              <c:f>DATA!$C$42:$C$48</c:f>
              <c:numCache>
                <c:formatCode>General</c:formatCode>
                <c:ptCount val="7"/>
                <c:pt idx="0">
                  <c:v>47</c:v>
                </c:pt>
                <c:pt idx="1">
                  <c:v>50</c:v>
                </c:pt>
                <c:pt idx="2">
                  <c:v>40</c:v>
                </c:pt>
                <c:pt idx="3">
                  <c:v>62</c:v>
                </c:pt>
                <c:pt idx="4">
                  <c:v>32</c:v>
                </c:pt>
                <c:pt idx="5">
                  <c:v>27</c:v>
                </c:pt>
                <c:pt idx="6" formatCode="0">
                  <c:v>43</c:v>
                </c:pt>
              </c:numCache>
            </c:numRef>
          </c:val>
        </c:ser>
        <c:ser>
          <c:idx val="2"/>
          <c:order val="2"/>
          <c:tx>
            <c:strRef>
              <c:f>DATA!$D$41</c:f>
              <c:strCache>
                <c:ptCount val="1"/>
                <c:pt idx="0">
                  <c:v>Total</c:v>
                </c:pt>
              </c:strCache>
            </c:strRef>
          </c:tx>
          <c:invertIfNegative val="0"/>
          <c:cat>
            <c:strRef>
              <c:f>DATA!$A$42:$A$48</c:f>
              <c:strCache>
                <c:ptCount val="7"/>
                <c:pt idx="0">
                  <c:v>2009</c:v>
                </c:pt>
                <c:pt idx="1">
                  <c:v>2010</c:v>
                </c:pt>
                <c:pt idx="2">
                  <c:v>2011</c:v>
                </c:pt>
                <c:pt idx="3">
                  <c:v>2012</c:v>
                </c:pt>
                <c:pt idx="4">
                  <c:v>2013</c:v>
                </c:pt>
                <c:pt idx="5">
                  <c:v>2014</c:v>
                </c:pt>
                <c:pt idx="6">
                  <c:v>AVERAGE</c:v>
                </c:pt>
              </c:strCache>
            </c:strRef>
          </c:cat>
          <c:val>
            <c:numRef>
              <c:f>DATA!$D$42:$D$48</c:f>
              <c:numCache>
                <c:formatCode>General</c:formatCode>
                <c:ptCount val="7"/>
                <c:pt idx="0">
                  <c:v>66</c:v>
                </c:pt>
                <c:pt idx="1">
                  <c:v>110</c:v>
                </c:pt>
                <c:pt idx="2">
                  <c:v>117</c:v>
                </c:pt>
                <c:pt idx="3">
                  <c:v>147</c:v>
                </c:pt>
                <c:pt idx="4">
                  <c:v>70</c:v>
                </c:pt>
                <c:pt idx="5">
                  <c:v>66</c:v>
                </c:pt>
                <c:pt idx="6">
                  <c:v>96</c:v>
                </c:pt>
              </c:numCache>
            </c:numRef>
          </c:val>
        </c:ser>
        <c:dLbls>
          <c:showLegendKey val="0"/>
          <c:showVal val="0"/>
          <c:showCatName val="0"/>
          <c:showSerName val="0"/>
          <c:showPercent val="0"/>
          <c:showBubbleSize val="0"/>
        </c:dLbls>
        <c:gapWidth val="150"/>
        <c:shape val="box"/>
        <c:axId val="35393920"/>
        <c:axId val="35395456"/>
        <c:axId val="0"/>
      </c:bar3DChart>
      <c:catAx>
        <c:axId val="35393920"/>
        <c:scaling>
          <c:orientation val="minMax"/>
        </c:scaling>
        <c:delete val="0"/>
        <c:axPos val="b"/>
        <c:numFmt formatCode="General" sourceLinked="1"/>
        <c:majorTickMark val="none"/>
        <c:minorTickMark val="none"/>
        <c:tickLblPos val="nextTo"/>
        <c:crossAx val="35395456"/>
        <c:crosses val="autoZero"/>
        <c:auto val="1"/>
        <c:lblAlgn val="ctr"/>
        <c:lblOffset val="100"/>
        <c:noMultiLvlLbl val="0"/>
      </c:catAx>
      <c:valAx>
        <c:axId val="35395456"/>
        <c:scaling>
          <c:orientation val="minMax"/>
        </c:scaling>
        <c:delete val="0"/>
        <c:axPos val="l"/>
        <c:majorGridlines/>
        <c:numFmt formatCode="General" sourceLinked="1"/>
        <c:majorTickMark val="none"/>
        <c:minorTickMark val="none"/>
        <c:tickLblPos val="nextTo"/>
        <c:crossAx val="35393920"/>
        <c:crosses val="autoZero"/>
        <c:crossBetween val="between"/>
      </c:valAx>
      <c:dTable>
        <c:showHorzBorder val="1"/>
        <c:showVertBorder val="1"/>
        <c:showOutline val="1"/>
        <c:showKeys val="1"/>
      </c:dTable>
      <c:spPr>
        <a:ln>
          <a:noFill/>
        </a:ln>
      </c:spPr>
    </c:plotArea>
    <c:plotVisOnly val="1"/>
    <c:dispBlanksAs val="gap"/>
    <c:showDLblsOverMax val="0"/>
  </c:chart>
  <c:spPr>
    <a:ln>
      <a:noFill/>
    </a:ln>
    <a:effectLst>
      <a:outerShdw sx="1000" sy="1000" algn="ctr" rotWithShape="0">
        <a:srgbClr val="000000">
          <a:alpha val="99000"/>
        </a:srgb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400" b="0"/>
              <a:t>TOTAL ACERAGE</a:t>
            </a:r>
          </a:p>
        </c:rich>
      </c:tx>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DATA!$B$59</c:f>
              <c:strCache>
                <c:ptCount val="1"/>
                <c:pt idx="0">
                  <c:v>Human</c:v>
                </c:pt>
              </c:strCache>
            </c:strRef>
          </c:tx>
          <c:invertIfNegative val="0"/>
          <c:cat>
            <c:strRef>
              <c:f>DATA!$A$60:$A$66</c:f>
              <c:strCache>
                <c:ptCount val="7"/>
                <c:pt idx="0">
                  <c:v>2009</c:v>
                </c:pt>
                <c:pt idx="1">
                  <c:v>2010</c:v>
                </c:pt>
                <c:pt idx="2">
                  <c:v>2011</c:v>
                </c:pt>
                <c:pt idx="3">
                  <c:v>2012</c:v>
                </c:pt>
                <c:pt idx="4">
                  <c:v>2013</c:v>
                </c:pt>
                <c:pt idx="5">
                  <c:v>2014</c:v>
                </c:pt>
                <c:pt idx="6">
                  <c:v>AVERAGE</c:v>
                </c:pt>
              </c:strCache>
            </c:strRef>
          </c:cat>
          <c:val>
            <c:numRef>
              <c:f>DATA!$B$60:$B$66</c:f>
              <c:numCache>
                <c:formatCode>#,##0.00</c:formatCode>
                <c:ptCount val="7"/>
                <c:pt idx="0">
                  <c:v>78.599999999999994</c:v>
                </c:pt>
                <c:pt idx="1">
                  <c:v>6397</c:v>
                </c:pt>
                <c:pt idx="2">
                  <c:v>1012.6</c:v>
                </c:pt>
                <c:pt idx="3">
                  <c:v>16692.52</c:v>
                </c:pt>
                <c:pt idx="4">
                  <c:v>382.17</c:v>
                </c:pt>
                <c:pt idx="5">
                  <c:v>453.95</c:v>
                </c:pt>
                <c:pt idx="6">
                  <c:v>4169.4733333333334</c:v>
                </c:pt>
              </c:numCache>
            </c:numRef>
          </c:val>
        </c:ser>
        <c:ser>
          <c:idx val="1"/>
          <c:order val="1"/>
          <c:tx>
            <c:strRef>
              <c:f>DATA!$C$59</c:f>
              <c:strCache>
                <c:ptCount val="1"/>
                <c:pt idx="0">
                  <c:v>Lightning</c:v>
                </c:pt>
              </c:strCache>
            </c:strRef>
          </c:tx>
          <c:invertIfNegative val="0"/>
          <c:val>
            <c:numRef>
              <c:f>DATA!$C$60:$C$66</c:f>
              <c:numCache>
                <c:formatCode>#,##0.00</c:formatCode>
                <c:ptCount val="7"/>
                <c:pt idx="0">
                  <c:v>25.9</c:v>
                </c:pt>
                <c:pt idx="1">
                  <c:v>220.4</c:v>
                </c:pt>
                <c:pt idx="2">
                  <c:v>4898.3</c:v>
                </c:pt>
                <c:pt idx="3">
                  <c:v>34770.94</c:v>
                </c:pt>
                <c:pt idx="4">
                  <c:v>174.74</c:v>
                </c:pt>
                <c:pt idx="5">
                  <c:v>71.05</c:v>
                </c:pt>
                <c:pt idx="6">
                  <c:v>6693.5550000000003</c:v>
                </c:pt>
              </c:numCache>
            </c:numRef>
          </c:val>
        </c:ser>
        <c:ser>
          <c:idx val="2"/>
          <c:order val="2"/>
          <c:tx>
            <c:strRef>
              <c:f>DATA!$D$59</c:f>
              <c:strCache>
                <c:ptCount val="1"/>
                <c:pt idx="0">
                  <c:v>Total</c:v>
                </c:pt>
              </c:strCache>
            </c:strRef>
          </c:tx>
          <c:invertIfNegative val="0"/>
          <c:val>
            <c:numRef>
              <c:f>DATA!$D$60:$D$66</c:f>
              <c:numCache>
                <c:formatCode>#,##0.00</c:formatCode>
                <c:ptCount val="7"/>
                <c:pt idx="0">
                  <c:v>104.5</c:v>
                </c:pt>
                <c:pt idx="1">
                  <c:v>6617.4</c:v>
                </c:pt>
                <c:pt idx="2">
                  <c:v>5910.9000000000005</c:v>
                </c:pt>
                <c:pt idx="3">
                  <c:v>51463.460000000006</c:v>
                </c:pt>
                <c:pt idx="4">
                  <c:v>556.91000000000008</c:v>
                </c:pt>
                <c:pt idx="5">
                  <c:v>525</c:v>
                </c:pt>
                <c:pt idx="6">
                  <c:v>10863.028333333335</c:v>
                </c:pt>
              </c:numCache>
            </c:numRef>
          </c:val>
        </c:ser>
        <c:dLbls>
          <c:showLegendKey val="0"/>
          <c:showVal val="0"/>
          <c:showCatName val="0"/>
          <c:showSerName val="0"/>
          <c:showPercent val="0"/>
          <c:showBubbleSize val="0"/>
        </c:dLbls>
        <c:gapWidth val="150"/>
        <c:shape val="box"/>
        <c:axId val="35452032"/>
        <c:axId val="35453568"/>
        <c:axId val="0"/>
      </c:bar3DChart>
      <c:catAx>
        <c:axId val="35452032"/>
        <c:scaling>
          <c:orientation val="minMax"/>
        </c:scaling>
        <c:delete val="0"/>
        <c:axPos val="b"/>
        <c:numFmt formatCode="#,##0.00" sourceLinked="1"/>
        <c:majorTickMark val="none"/>
        <c:minorTickMark val="none"/>
        <c:tickLblPos val="nextTo"/>
        <c:crossAx val="35453568"/>
        <c:crosses val="autoZero"/>
        <c:auto val="1"/>
        <c:lblAlgn val="ctr"/>
        <c:lblOffset val="100"/>
        <c:noMultiLvlLbl val="0"/>
      </c:catAx>
      <c:valAx>
        <c:axId val="35453568"/>
        <c:scaling>
          <c:orientation val="minMax"/>
        </c:scaling>
        <c:delete val="0"/>
        <c:axPos val="l"/>
        <c:majorGridlines/>
        <c:numFmt formatCode="#,##0.00" sourceLinked="1"/>
        <c:majorTickMark val="none"/>
        <c:minorTickMark val="none"/>
        <c:tickLblPos val="nextTo"/>
        <c:crossAx val="35452032"/>
        <c:crosses val="autoZero"/>
        <c:crossBetween val="between"/>
      </c:valAx>
      <c:dTable>
        <c:showHorzBorder val="1"/>
        <c:showVertBorder val="1"/>
        <c:showOutline val="1"/>
        <c:showKeys val="1"/>
      </c:dTable>
      <c:spPr>
        <a:ln w="25400">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400" b="0"/>
              <a:t>Total Number of Fires</a:t>
            </a:r>
          </a:p>
        </c:rich>
      </c:tx>
      <c:overlay val="0"/>
    </c:title>
    <c:autoTitleDeleted val="0"/>
    <c:view3D>
      <c:rotX val="40"/>
      <c:rotY val="20"/>
      <c:rAngAx val="0"/>
      <c:perspective val="30"/>
    </c:view3D>
    <c:floor>
      <c:thickness val="0"/>
    </c:floor>
    <c:sideWall>
      <c:thickness val="0"/>
    </c:sideWall>
    <c:backWall>
      <c:thickness val="0"/>
    </c:backWall>
    <c:plotArea>
      <c:layout/>
      <c:pie3DChart>
        <c:varyColors val="1"/>
        <c:ser>
          <c:idx val="0"/>
          <c:order val="0"/>
          <c:tx>
            <c:strRef>
              <c:f>DATA!$A$132</c:f>
              <c:strCache>
                <c:ptCount val="1"/>
                <c:pt idx="0">
                  <c:v>Total Acreage Burnt</c:v>
                </c:pt>
              </c:strCache>
            </c:strRef>
          </c:tx>
          <c:explosion val="25"/>
          <c:dLbls>
            <c:showLegendKey val="0"/>
            <c:showVal val="1"/>
            <c:showCatName val="0"/>
            <c:showSerName val="0"/>
            <c:showPercent val="0"/>
            <c:showBubbleSize val="0"/>
            <c:showLeaderLines val="1"/>
          </c:dLbls>
          <c:cat>
            <c:strRef>
              <c:f>DATA!$A$133:$A$135</c:f>
              <c:strCache>
                <c:ptCount val="3"/>
                <c:pt idx="0">
                  <c:v>HDD</c:v>
                </c:pt>
                <c:pt idx="1">
                  <c:v>County</c:v>
                </c:pt>
                <c:pt idx="2">
                  <c:v>State</c:v>
                </c:pt>
              </c:strCache>
            </c:strRef>
          </c:cat>
          <c:val>
            <c:numRef>
              <c:f>DATA!$B$133:$B$135</c:f>
              <c:numCache>
                <c:formatCode>General</c:formatCode>
                <c:ptCount val="3"/>
                <c:pt idx="0">
                  <c:v>35</c:v>
                </c:pt>
                <c:pt idx="1">
                  <c:v>30</c:v>
                </c:pt>
                <c:pt idx="2">
                  <c:v>1</c:v>
                </c:pt>
              </c:numCache>
            </c:numRef>
          </c:val>
        </c:ser>
        <c:dLbls>
          <c:showLegendKey val="0"/>
          <c:showVal val="0"/>
          <c:showCatName val="0"/>
          <c:showSerName val="0"/>
          <c:showPercent val="0"/>
          <c:showBubbleSize val="0"/>
          <c:showLeaderLines val="1"/>
        </c:dLbls>
      </c:pie3DChart>
      <c:spPr>
        <a:ln>
          <a:noFill/>
        </a:ln>
      </c:spPr>
    </c:plotArea>
    <c:legend>
      <c:legendPos val="r"/>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400" b="0"/>
              <a:t>Number of Fires</a:t>
            </a:r>
            <a:r>
              <a:rPr lang="en-US" sz="1400" b="0" baseline="0"/>
              <a:t> </a:t>
            </a:r>
            <a:r>
              <a:rPr lang="en-US" sz="1400" b="0"/>
              <a:t>by County</a:t>
            </a:r>
          </a:p>
        </c:rich>
      </c:tx>
      <c:overlay val="0"/>
    </c:title>
    <c:autoTitleDeleted val="0"/>
    <c:view3D>
      <c:rotX val="40"/>
      <c:rotY val="20"/>
      <c:rAngAx val="0"/>
      <c:perspective val="30"/>
    </c:view3D>
    <c:floor>
      <c:thickness val="0"/>
    </c:floor>
    <c:sideWall>
      <c:thickness val="0"/>
    </c:sideWall>
    <c:backWall>
      <c:thickness val="0"/>
    </c:backWall>
    <c:plotArea>
      <c:layout/>
      <c:pie3DChart>
        <c:varyColors val="1"/>
        <c:ser>
          <c:idx val="1"/>
          <c:order val="0"/>
          <c:tx>
            <c:strRef>
              <c:f>DATA!$A$147</c:f>
              <c:strCache>
                <c:ptCount val="1"/>
                <c:pt idx="0">
                  <c:v>Acers Burned by County</c:v>
                </c:pt>
              </c:strCache>
            </c:strRef>
          </c:tx>
          <c:explosion val="25"/>
          <c:dLbls>
            <c:showLegendKey val="0"/>
            <c:showVal val="1"/>
            <c:showCatName val="0"/>
            <c:showSerName val="0"/>
            <c:showPercent val="0"/>
            <c:showBubbleSize val="0"/>
            <c:showLeaderLines val="1"/>
          </c:dLbls>
          <c:cat>
            <c:strRef>
              <c:f>DATA!$A$148:$A$154</c:f>
              <c:strCache>
                <c:ptCount val="7"/>
                <c:pt idx="0">
                  <c:v>ALX</c:v>
                </c:pt>
                <c:pt idx="1">
                  <c:v>CAX</c:v>
                </c:pt>
                <c:pt idx="2">
                  <c:v>LAX</c:v>
                </c:pt>
                <c:pt idx="3">
                  <c:v>LIX</c:v>
                </c:pt>
                <c:pt idx="4">
                  <c:v>SUX</c:v>
                </c:pt>
                <c:pt idx="5">
                  <c:v>SWX</c:v>
                </c:pt>
                <c:pt idx="6">
                  <c:v>UIX</c:v>
                </c:pt>
              </c:strCache>
            </c:strRef>
          </c:cat>
          <c:val>
            <c:numRef>
              <c:f>DATA!$B$148:$B$154</c:f>
              <c:numCache>
                <c:formatCode>General</c:formatCode>
                <c:ptCount val="7"/>
                <c:pt idx="0">
                  <c:v>2</c:v>
                </c:pt>
                <c:pt idx="1">
                  <c:v>9</c:v>
                </c:pt>
                <c:pt idx="2">
                  <c:v>0</c:v>
                </c:pt>
                <c:pt idx="3">
                  <c:v>4</c:v>
                </c:pt>
                <c:pt idx="4">
                  <c:v>0</c:v>
                </c:pt>
                <c:pt idx="5">
                  <c:v>14</c:v>
                </c:pt>
                <c:pt idx="6">
                  <c:v>1</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Acers Burned by County</a:t>
            </a:r>
          </a:p>
        </c:rich>
      </c:tx>
      <c:overlay val="0"/>
    </c:title>
    <c:autoTitleDeleted val="0"/>
    <c:view3D>
      <c:rotX val="40"/>
      <c:rotY val="20"/>
      <c:rAngAx val="0"/>
      <c:perspective val="30"/>
    </c:view3D>
    <c:floor>
      <c:thickness val="0"/>
    </c:floor>
    <c:sideWall>
      <c:thickness val="0"/>
    </c:sideWall>
    <c:backWall>
      <c:thickness val="0"/>
    </c:backWall>
    <c:plotArea>
      <c:layout/>
      <c:pie3DChart>
        <c:varyColors val="1"/>
        <c:ser>
          <c:idx val="0"/>
          <c:order val="0"/>
          <c:tx>
            <c:strRef>
              <c:f>DATA!$A$147</c:f>
              <c:strCache>
                <c:ptCount val="1"/>
                <c:pt idx="0">
                  <c:v>Acers Burned by County</c:v>
                </c:pt>
              </c:strCache>
            </c:strRef>
          </c:tx>
          <c:explosion val="25"/>
          <c:dLbls>
            <c:showLegendKey val="0"/>
            <c:showVal val="1"/>
            <c:showCatName val="0"/>
            <c:showSerName val="0"/>
            <c:showPercent val="0"/>
            <c:showBubbleSize val="0"/>
            <c:showLeaderLines val="1"/>
          </c:dLbls>
          <c:cat>
            <c:strRef>
              <c:f>DATA!$A$148:$A$154</c:f>
              <c:strCache>
                <c:ptCount val="7"/>
                <c:pt idx="0">
                  <c:v>ALX</c:v>
                </c:pt>
                <c:pt idx="1">
                  <c:v>CAX</c:v>
                </c:pt>
                <c:pt idx="2">
                  <c:v>LAX</c:v>
                </c:pt>
                <c:pt idx="3">
                  <c:v>LIX</c:v>
                </c:pt>
                <c:pt idx="4">
                  <c:v>SUX</c:v>
                </c:pt>
                <c:pt idx="5">
                  <c:v>SWX</c:v>
                </c:pt>
                <c:pt idx="6">
                  <c:v>UIX</c:v>
                </c:pt>
              </c:strCache>
            </c:strRef>
          </c:cat>
          <c:val>
            <c:numRef>
              <c:f>DATA!$C$148:$C$154</c:f>
              <c:numCache>
                <c:formatCode>General</c:formatCode>
                <c:ptCount val="7"/>
                <c:pt idx="0">
                  <c:v>329</c:v>
                </c:pt>
                <c:pt idx="1">
                  <c:v>31.5</c:v>
                </c:pt>
                <c:pt idx="2">
                  <c:v>0</c:v>
                </c:pt>
                <c:pt idx="3">
                  <c:v>12</c:v>
                </c:pt>
                <c:pt idx="4">
                  <c:v>0</c:v>
                </c:pt>
                <c:pt idx="5">
                  <c:v>78.099999999999994</c:v>
                </c:pt>
                <c:pt idx="6">
                  <c:v>2</c:v>
                </c:pt>
              </c:numCache>
            </c:numRef>
          </c:val>
        </c:ser>
        <c:dLbls>
          <c:showLegendKey val="0"/>
          <c:showVal val="0"/>
          <c:showCatName val="0"/>
          <c:showSerName val="0"/>
          <c:showPercent val="0"/>
          <c:showBubbleSize val="0"/>
          <c:showLeaderLines val="1"/>
        </c:dLbls>
      </c:pie3DChart>
      <c:spPr>
        <a:ln>
          <a:noFill/>
        </a:ln>
      </c:spPr>
    </c:plotArea>
    <c:legend>
      <c:legendPos val="r"/>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0"/>
              <a:t>Overhead on Assignment</a:t>
            </a:r>
          </a:p>
        </c:rich>
      </c:tx>
      <c:overlay val="0"/>
    </c:title>
    <c:autoTitleDeleted val="0"/>
    <c:view3D>
      <c:rotX val="40"/>
      <c:rotY val="20"/>
      <c:rAngAx val="0"/>
      <c:perspective val="30"/>
    </c:view3D>
    <c:floor>
      <c:thickness val="0"/>
    </c:floor>
    <c:sideWall>
      <c:thickness val="0"/>
    </c:sideWall>
    <c:backWall>
      <c:thickness val="0"/>
    </c:backWall>
    <c:plotArea>
      <c:layout>
        <c:manualLayout>
          <c:layoutTarget val="inner"/>
          <c:xMode val="edge"/>
          <c:yMode val="edge"/>
          <c:x val="8.2651793525809272E-2"/>
          <c:y val="0.24055263925342665"/>
          <c:w val="0.66823906386701659"/>
          <c:h val="0.66745953630796151"/>
        </c:manualLayout>
      </c:layout>
      <c:pie3DChart>
        <c:varyColors val="1"/>
        <c:ser>
          <c:idx val="0"/>
          <c:order val="0"/>
          <c:tx>
            <c:strRef>
              <c:f>DATA!$A$199</c:f>
              <c:strCache>
                <c:ptCount val="1"/>
                <c:pt idx="0">
                  <c:v>Overhead on Assignment</c:v>
                </c:pt>
              </c:strCache>
            </c:strRef>
          </c:tx>
          <c:explosion val="25"/>
          <c:dLbls>
            <c:showLegendKey val="0"/>
            <c:showVal val="1"/>
            <c:showCatName val="0"/>
            <c:showSerName val="0"/>
            <c:showPercent val="0"/>
            <c:showBubbleSize val="0"/>
            <c:showLeaderLines val="1"/>
          </c:dLbls>
          <c:cat>
            <c:strRef>
              <c:f>DATA!$A$200:$A$205</c:f>
              <c:strCache>
                <c:ptCount val="6"/>
                <c:pt idx="0">
                  <c:v>WY-ALX</c:v>
                </c:pt>
                <c:pt idx="1">
                  <c:v>WY-HDD</c:v>
                </c:pt>
                <c:pt idx="2">
                  <c:v>WY-WSO</c:v>
                </c:pt>
                <c:pt idx="3">
                  <c:v>WY-WYS</c:v>
                </c:pt>
                <c:pt idx="4">
                  <c:v>WY-SWX</c:v>
                </c:pt>
                <c:pt idx="5">
                  <c:v>WY-SER</c:v>
                </c:pt>
              </c:strCache>
            </c:strRef>
          </c:cat>
          <c:val>
            <c:numRef>
              <c:f>DATA!$B$200:$B$205</c:f>
              <c:numCache>
                <c:formatCode>General</c:formatCode>
                <c:ptCount val="6"/>
                <c:pt idx="0">
                  <c:v>5</c:v>
                </c:pt>
                <c:pt idx="1">
                  <c:v>38</c:v>
                </c:pt>
                <c:pt idx="2">
                  <c:v>7</c:v>
                </c:pt>
                <c:pt idx="3">
                  <c:v>8</c:v>
                </c:pt>
                <c:pt idx="4">
                  <c:v>1</c:v>
                </c:pt>
                <c:pt idx="5">
                  <c:v>4</c:v>
                </c:pt>
              </c:numCache>
            </c:numRef>
          </c:val>
        </c:ser>
        <c:dLbls>
          <c:showLegendKey val="0"/>
          <c:showVal val="0"/>
          <c:showCatName val="0"/>
          <c:showSerName val="0"/>
          <c:showPercent val="0"/>
          <c:showBubbleSize val="0"/>
          <c:showLeaderLines val="1"/>
        </c:dLbls>
      </c:pie3DChart>
      <c:spPr>
        <a:ln>
          <a:noFill/>
        </a:ln>
      </c:spPr>
    </c:plotArea>
    <c:legend>
      <c:legendPos val="r"/>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0"/>
              <a:t>Equipment on Assignment</a:t>
            </a:r>
          </a:p>
        </c:rich>
      </c:tx>
      <c:overlay val="0"/>
    </c:title>
    <c:autoTitleDeleted val="0"/>
    <c:view3D>
      <c:rotX val="40"/>
      <c:rotY val="20"/>
      <c:rAngAx val="0"/>
      <c:perspective val="30"/>
    </c:view3D>
    <c:floor>
      <c:thickness val="0"/>
    </c:floor>
    <c:sideWall>
      <c:thickness val="0"/>
    </c:sideWall>
    <c:backWall>
      <c:thickness val="0"/>
    </c:backWall>
    <c:plotArea>
      <c:layout/>
      <c:pie3DChart>
        <c:varyColors val="1"/>
        <c:ser>
          <c:idx val="0"/>
          <c:order val="0"/>
          <c:tx>
            <c:strRef>
              <c:f>DATA!$A$207</c:f>
              <c:strCache>
                <c:ptCount val="1"/>
                <c:pt idx="0">
                  <c:v>Equipment on Assignment</c:v>
                </c:pt>
              </c:strCache>
            </c:strRef>
          </c:tx>
          <c:explosion val="25"/>
          <c:dLbls>
            <c:showLegendKey val="0"/>
            <c:showVal val="1"/>
            <c:showCatName val="0"/>
            <c:showSerName val="0"/>
            <c:showPercent val="0"/>
            <c:showBubbleSize val="0"/>
            <c:showLeaderLines val="1"/>
          </c:dLbls>
          <c:cat>
            <c:strRef>
              <c:f>DATA!$A$208:$A$212</c:f>
              <c:strCache>
                <c:ptCount val="5"/>
                <c:pt idx="0">
                  <c:v>WY-ALX</c:v>
                </c:pt>
                <c:pt idx="1">
                  <c:v>WY-CAX</c:v>
                </c:pt>
                <c:pt idx="2">
                  <c:v>WY-LAX</c:v>
                </c:pt>
                <c:pt idx="3">
                  <c:v>WY-HDD</c:v>
                </c:pt>
                <c:pt idx="4">
                  <c:v>WY-WYS</c:v>
                </c:pt>
              </c:strCache>
            </c:strRef>
          </c:cat>
          <c:val>
            <c:numRef>
              <c:f>DATA!$B$208:$B$212</c:f>
              <c:numCache>
                <c:formatCode>General</c:formatCode>
                <c:ptCount val="5"/>
                <c:pt idx="0">
                  <c:v>7</c:v>
                </c:pt>
                <c:pt idx="1">
                  <c:v>1</c:v>
                </c:pt>
                <c:pt idx="2">
                  <c:v>0</c:v>
                </c:pt>
                <c:pt idx="3">
                  <c:v>8</c:v>
                </c:pt>
                <c:pt idx="4">
                  <c:v>1</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A780-10AC-4536-AD30-3A1F6EE9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10</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dc:creator>
  <cp:lastModifiedBy>Batchelder, Gary R</cp:lastModifiedBy>
  <cp:revision>22</cp:revision>
  <cp:lastPrinted>2014-12-02T21:52:00Z</cp:lastPrinted>
  <dcterms:created xsi:type="dcterms:W3CDTF">2014-10-28T15:19:00Z</dcterms:created>
  <dcterms:modified xsi:type="dcterms:W3CDTF">2015-01-05T19:01:00Z</dcterms:modified>
</cp:coreProperties>
</file>